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B714E" w:rsidRDefault="00B50269">
      <w:pPr>
        <w:pBdr>
          <w:top w:val="nil"/>
          <w:left w:val="nil"/>
          <w:bottom w:val="nil"/>
          <w:right w:val="nil"/>
          <w:between w:val="nil"/>
        </w:pBdr>
        <w:tabs>
          <w:tab w:val="left" w:pos="7267"/>
        </w:tabs>
        <w:jc w:val="center"/>
        <w:rPr>
          <w:rFonts w:ascii="Arial" w:eastAsia="Arial" w:hAnsi="Arial" w:cs="Arial"/>
          <w:b/>
          <w:bCs/>
          <w:color w:val="FF0000"/>
          <w:sz w:val="22"/>
          <w:szCs w:val="22"/>
        </w:rPr>
      </w:pPr>
      <w:r>
        <w:rPr>
          <w:rFonts w:ascii="Arial" w:eastAsia="Arial" w:hAnsi="Arial" w:cs="Arial"/>
          <w:b/>
          <w:bCs/>
          <w:color w:val="000000"/>
          <w:sz w:val="22"/>
          <w:szCs w:val="22"/>
        </w:rPr>
        <w:t xml:space="preserve">I - ESTUDO TÉCNICO PRELIMINAR </w:t>
      </w:r>
    </w:p>
    <w:p w:rsidR="009B714E" w:rsidRDefault="009B714E">
      <w:pPr>
        <w:pBdr>
          <w:top w:val="nil"/>
          <w:left w:val="nil"/>
          <w:bottom w:val="nil"/>
          <w:right w:val="nil"/>
          <w:between w:val="nil"/>
        </w:pBdr>
        <w:jc w:val="both"/>
        <w:rPr>
          <w:rFonts w:ascii="Arial" w:eastAsia="Arial" w:hAnsi="Arial" w:cs="Arial"/>
          <w:b/>
          <w:bCs/>
          <w:color w:val="000000"/>
          <w:sz w:val="22"/>
          <w:szCs w:val="22"/>
        </w:rPr>
      </w:pPr>
    </w:p>
    <w:p w:rsidR="009B714E" w:rsidRDefault="00B50269">
      <w:pPr>
        <w:numPr>
          <w:ilvl w:val="0"/>
          <w:numId w:val="1"/>
        </w:numPr>
        <w:pBdr>
          <w:top w:val="nil"/>
          <w:left w:val="nil"/>
          <w:bottom w:val="nil"/>
          <w:right w:val="nil"/>
          <w:between w:val="nil"/>
        </w:pBdr>
        <w:jc w:val="both"/>
        <w:rPr>
          <w:rFonts w:ascii="Arial" w:eastAsia="Arial" w:hAnsi="Arial" w:cs="Arial"/>
          <w:b/>
          <w:bCs/>
          <w:sz w:val="22"/>
          <w:szCs w:val="22"/>
        </w:rPr>
      </w:pPr>
      <w:r>
        <w:rPr>
          <w:rFonts w:ascii="Arial" w:eastAsia="Arial" w:hAnsi="Arial" w:cs="Arial"/>
          <w:b/>
          <w:bCs/>
          <w:color w:val="000000"/>
          <w:sz w:val="22"/>
          <w:szCs w:val="22"/>
        </w:rPr>
        <w:t xml:space="preserve">INTRODUÇÃO </w:t>
      </w:r>
    </w:p>
    <w:p w:rsidR="009B714E" w:rsidRDefault="00B50269">
      <w:pPr>
        <w:spacing w:before="240" w:after="240" w:line="360" w:lineRule="auto"/>
        <w:ind w:firstLine="720"/>
        <w:jc w:val="both"/>
        <w:rPr>
          <w:rFonts w:ascii="Arial" w:eastAsia="Arial" w:hAnsi="Arial" w:cs="Arial"/>
          <w:sz w:val="22"/>
          <w:szCs w:val="22"/>
          <w:highlight w:val="white"/>
        </w:rPr>
      </w:pPr>
      <w:r>
        <w:rPr>
          <w:rFonts w:ascii="Arial" w:eastAsia="Arial" w:hAnsi="Arial" w:cs="Arial"/>
          <w:sz w:val="22"/>
          <w:szCs w:val="22"/>
          <w:highlight w:val="white"/>
        </w:rPr>
        <w:t>O presente Estudo Técnico Preliminar (ETP) tem como objetivo fundamentar a contratação de empresas especializadas na locação, montagem, operação e serviços correlatos de locação de tendas, bem como na locação de</w:t>
      </w:r>
      <w:r w:rsidR="00B91AC7">
        <w:rPr>
          <w:rFonts w:ascii="Arial" w:eastAsia="Arial" w:hAnsi="Arial" w:cs="Arial"/>
          <w:sz w:val="22"/>
          <w:szCs w:val="22"/>
          <w:highlight w:val="white"/>
        </w:rPr>
        <w:t xml:space="preserve"> </w:t>
      </w:r>
      <w:r>
        <w:rPr>
          <w:rFonts w:ascii="Arial" w:eastAsia="Arial" w:hAnsi="Arial" w:cs="Arial"/>
          <w:sz w:val="22"/>
          <w:szCs w:val="22"/>
          <w:highlight w:val="white"/>
        </w:rPr>
        <w:t>banheiro container, incluindo unidades adaptadas para PCD.</w:t>
      </w:r>
    </w:p>
    <w:p w:rsidR="009B714E" w:rsidRDefault="00B50269">
      <w:pPr>
        <w:spacing w:before="240" w:after="240" w:line="360" w:lineRule="auto"/>
        <w:ind w:firstLine="720"/>
        <w:jc w:val="both"/>
        <w:rPr>
          <w:rFonts w:ascii="Arial" w:eastAsia="Arial" w:hAnsi="Arial" w:cs="Arial"/>
          <w:sz w:val="22"/>
          <w:szCs w:val="22"/>
          <w:highlight w:val="white"/>
        </w:rPr>
      </w:pPr>
      <w:r>
        <w:rPr>
          <w:rFonts w:ascii="Arial" w:eastAsia="Arial" w:hAnsi="Arial" w:cs="Arial"/>
          <w:sz w:val="22"/>
          <w:szCs w:val="22"/>
          <w:highlight w:val="white"/>
        </w:rPr>
        <w:t xml:space="preserve">A contratação desses serviços é necessária para atender às demandas da Secretaria Municipal de </w:t>
      </w:r>
      <w:r>
        <w:rPr>
          <w:rFonts w:ascii="Arial" w:eastAsia="Arial" w:hAnsi="Arial" w:cs="Arial"/>
          <w:sz w:val="22"/>
          <w:szCs w:val="22"/>
        </w:rPr>
        <w:t>Cultura, Secretaria Municipal de Turismo, Secretaria Municipal de Saúde,</w:t>
      </w:r>
      <w:r>
        <w:rPr>
          <w:rFonts w:ascii="Arial" w:eastAsia="Arial" w:hAnsi="Arial" w:cs="Arial"/>
          <w:sz w:val="22"/>
          <w:szCs w:val="22"/>
          <w:highlight w:val="white"/>
        </w:rPr>
        <w:t xml:space="preserve"> Secretaria Municipal de Assistência Social, Secretaria Municipal de Governo e Secretaria Municipal de Desenvolvimento Rural, Agricultura e Meio Ambiente, garantindo infraestrutura adequada para a realização de eventos, apresentações culturais, eventos sociais e festivais, assegurando visibilidade, qualidade, conforto, segurança e boa experiência ao público.</w:t>
      </w:r>
    </w:p>
    <w:p w:rsidR="00DE5B09" w:rsidRPr="00DE5B09" w:rsidRDefault="00B50269" w:rsidP="00DE5B09">
      <w:pPr>
        <w:numPr>
          <w:ilvl w:val="0"/>
          <w:numId w:val="1"/>
        </w:numPr>
        <w:pBdr>
          <w:top w:val="nil"/>
          <w:left w:val="nil"/>
          <w:bottom w:val="nil"/>
          <w:right w:val="nil"/>
          <w:between w:val="nil"/>
        </w:pBdr>
        <w:spacing w:before="280" w:line="360" w:lineRule="auto"/>
        <w:ind w:left="0" w:firstLine="426"/>
        <w:jc w:val="both"/>
        <w:rPr>
          <w:rFonts w:ascii="Arial" w:eastAsia="Arial" w:hAnsi="Arial" w:cs="Arial"/>
          <w:b/>
          <w:bCs/>
          <w:sz w:val="22"/>
          <w:szCs w:val="22"/>
        </w:rPr>
      </w:pPr>
      <w:r>
        <w:rPr>
          <w:rFonts w:ascii="Arial" w:eastAsia="Arial" w:hAnsi="Arial" w:cs="Arial"/>
          <w:b/>
          <w:bCs/>
          <w:color w:val="000000"/>
          <w:sz w:val="22"/>
          <w:szCs w:val="22"/>
        </w:rPr>
        <w:t xml:space="preserve">DIRETRIZES QUE NORTEARÃO ESTE ETP </w:t>
      </w:r>
    </w:p>
    <w:p w:rsidR="009B714E" w:rsidRDefault="00B50269">
      <w:pPr>
        <w:keepLines/>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2.1. Lei Federal 14.133/21, de 01 de abril de 2021;</w:t>
      </w:r>
    </w:p>
    <w:p w:rsidR="009B714E" w:rsidRDefault="00B50269">
      <w:pPr>
        <w:keepLines/>
        <w:pBdr>
          <w:top w:val="nil"/>
          <w:left w:val="nil"/>
          <w:bottom w:val="nil"/>
          <w:right w:val="nil"/>
          <w:between w:val="nil"/>
        </w:pBdr>
        <w:spacing w:line="360" w:lineRule="auto"/>
        <w:jc w:val="both"/>
        <w:rPr>
          <w:rFonts w:ascii="Arial" w:eastAsia="Arial" w:hAnsi="Arial" w:cs="Arial"/>
          <w:sz w:val="22"/>
          <w:szCs w:val="22"/>
        </w:rPr>
      </w:pPr>
      <w:r>
        <w:rPr>
          <w:rFonts w:ascii="Arial" w:eastAsia="Arial" w:hAnsi="Arial" w:cs="Arial"/>
          <w:sz w:val="22"/>
          <w:szCs w:val="22"/>
        </w:rPr>
        <w:t>2.2. P</w:t>
      </w:r>
      <w:r w:rsidR="006E7332">
        <w:rPr>
          <w:rFonts w:ascii="Arial" w:eastAsia="Arial" w:hAnsi="Arial" w:cs="Arial"/>
          <w:sz w:val="22"/>
          <w:szCs w:val="22"/>
        </w:rPr>
        <w:t>lano de Contratação Anual – 2026</w:t>
      </w:r>
      <w:r>
        <w:rPr>
          <w:rFonts w:ascii="Arial" w:eastAsia="Arial" w:hAnsi="Arial" w:cs="Arial"/>
          <w:sz w:val="22"/>
          <w:szCs w:val="22"/>
        </w:rPr>
        <w:t>;</w:t>
      </w:r>
    </w:p>
    <w:p w:rsidR="009B714E" w:rsidRDefault="00B50269">
      <w:pPr>
        <w:keepLines/>
        <w:spacing w:line="360" w:lineRule="auto"/>
        <w:jc w:val="both"/>
        <w:rPr>
          <w:rFonts w:ascii="Arial" w:eastAsia="Arial" w:hAnsi="Arial" w:cs="Arial"/>
          <w:sz w:val="22"/>
          <w:szCs w:val="22"/>
        </w:rPr>
      </w:pPr>
      <w:r>
        <w:rPr>
          <w:rFonts w:ascii="Arial" w:eastAsia="Arial" w:hAnsi="Arial" w:cs="Arial"/>
          <w:sz w:val="22"/>
          <w:szCs w:val="22"/>
        </w:rPr>
        <w:t xml:space="preserve">2.3. Serão levadas em consideração tais legislações citadas, suas alterações posteriores e demais legislações pertinentes. </w:t>
      </w:r>
    </w:p>
    <w:p w:rsidR="009B714E" w:rsidRDefault="009B714E">
      <w:pPr>
        <w:pBdr>
          <w:top w:val="nil"/>
          <w:left w:val="nil"/>
          <w:bottom w:val="nil"/>
          <w:right w:val="nil"/>
          <w:between w:val="nil"/>
        </w:pBdr>
        <w:ind w:left="360"/>
        <w:jc w:val="both"/>
        <w:rPr>
          <w:rFonts w:ascii="Arial" w:eastAsia="Arial" w:hAnsi="Arial" w:cs="Arial"/>
          <w:b/>
          <w:bCs/>
          <w:color w:val="000000"/>
          <w:sz w:val="22"/>
          <w:szCs w:val="22"/>
        </w:rPr>
      </w:pPr>
    </w:p>
    <w:p w:rsidR="009B714E" w:rsidRDefault="00B50269">
      <w:pPr>
        <w:numPr>
          <w:ilvl w:val="0"/>
          <w:numId w:val="1"/>
        </w:numPr>
        <w:pBdr>
          <w:top w:val="nil"/>
          <w:left w:val="nil"/>
          <w:bottom w:val="nil"/>
          <w:right w:val="nil"/>
          <w:between w:val="nil"/>
        </w:pBdr>
        <w:jc w:val="both"/>
        <w:rPr>
          <w:rFonts w:ascii="Arial" w:eastAsia="Arial" w:hAnsi="Arial" w:cs="Arial"/>
          <w:b/>
          <w:bCs/>
          <w:sz w:val="22"/>
          <w:szCs w:val="22"/>
        </w:rPr>
      </w:pPr>
      <w:r>
        <w:rPr>
          <w:rFonts w:ascii="Arial" w:eastAsia="Arial" w:hAnsi="Arial" w:cs="Arial"/>
          <w:b/>
          <w:bCs/>
          <w:color w:val="000000"/>
          <w:sz w:val="22"/>
          <w:szCs w:val="22"/>
        </w:rPr>
        <w:t xml:space="preserve">DESCRIÇÃO DA NECESSIDADE </w:t>
      </w:r>
    </w:p>
    <w:p w:rsidR="009B714E" w:rsidRDefault="00B50269">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 xml:space="preserve">A contratação de empresas especializadas na locação, montagem, operação e serviços correlatos de </w:t>
      </w:r>
      <w:r>
        <w:rPr>
          <w:rFonts w:ascii="Arial" w:eastAsia="Arial" w:hAnsi="Arial" w:cs="Arial"/>
          <w:sz w:val="22"/>
          <w:szCs w:val="22"/>
          <w:highlight w:val="white"/>
        </w:rPr>
        <w:t>locação de tendas</w:t>
      </w:r>
      <w:r>
        <w:rPr>
          <w:rFonts w:ascii="Arial" w:eastAsia="Arial" w:hAnsi="Arial" w:cs="Arial"/>
          <w:sz w:val="22"/>
          <w:szCs w:val="22"/>
        </w:rPr>
        <w:t xml:space="preserve">, bem como na locação de banheiros </w:t>
      </w:r>
      <w:r>
        <w:rPr>
          <w:rFonts w:ascii="Arial" w:eastAsia="Arial" w:hAnsi="Arial" w:cs="Arial"/>
          <w:sz w:val="22"/>
          <w:szCs w:val="22"/>
          <w:highlight w:val="white"/>
        </w:rPr>
        <w:t>container</w:t>
      </w:r>
      <w:r>
        <w:rPr>
          <w:rFonts w:ascii="Arial" w:eastAsia="Arial" w:hAnsi="Arial" w:cs="Arial"/>
          <w:sz w:val="22"/>
          <w:szCs w:val="22"/>
        </w:rPr>
        <w:t xml:space="preserve">, incluindo unidades adaptadas para PCD, se faz necessária para garantir infraestrutura adequada para a realização de eventos, apresentações culturais, festivais, </w:t>
      </w:r>
      <w:r>
        <w:rPr>
          <w:rFonts w:ascii="Arial" w:eastAsia="Arial" w:hAnsi="Arial" w:cs="Arial"/>
          <w:sz w:val="22"/>
          <w:szCs w:val="22"/>
          <w:highlight w:val="white"/>
        </w:rPr>
        <w:t xml:space="preserve">eventos sociais </w:t>
      </w:r>
      <w:r>
        <w:rPr>
          <w:rFonts w:ascii="Arial" w:eastAsia="Arial" w:hAnsi="Arial" w:cs="Arial"/>
          <w:sz w:val="22"/>
          <w:szCs w:val="22"/>
        </w:rPr>
        <w:t>e demais ações de promoção turística e cultural do município.</w:t>
      </w:r>
    </w:p>
    <w:p w:rsidR="009B714E" w:rsidRDefault="00B50269">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Estes serviços possibilitam maior visibilidade e qualidade na exibição de conteúdos audiovisuais, além de oferecer condições sanitárias adequadas e conforto ao público, assegurando que os eventos ocorram de forma organizada, segura e com impacto positivo para a comunidade local.</w:t>
      </w:r>
    </w:p>
    <w:p w:rsidR="009B714E" w:rsidRDefault="00B50269">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 xml:space="preserve">Ressalta-se que a definição da quantidade de banheiros químicos e da </w:t>
      </w:r>
      <w:r>
        <w:rPr>
          <w:rFonts w:ascii="Arial" w:eastAsia="Arial" w:hAnsi="Arial" w:cs="Arial"/>
          <w:sz w:val="22"/>
          <w:szCs w:val="22"/>
          <w:highlight w:val="white"/>
        </w:rPr>
        <w:t>locação de tendas,</w:t>
      </w:r>
      <w:r>
        <w:rPr>
          <w:rFonts w:ascii="Arial" w:eastAsia="Arial" w:hAnsi="Arial" w:cs="Arial"/>
          <w:sz w:val="22"/>
          <w:szCs w:val="22"/>
        </w:rPr>
        <w:t xml:space="preserve"> depende de variáveis que só podem ser verificadas próximos à data do evento, como </w:t>
      </w:r>
      <w:r>
        <w:rPr>
          <w:rFonts w:ascii="Arial" w:eastAsia="Arial" w:hAnsi="Arial" w:cs="Arial"/>
          <w:sz w:val="22"/>
          <w:szCs w:val="22"/>
        </w:rPr>
        <w:lastRenderedPageBreak/>
        <w:t xml:space="preserve">o tamanho e o tipo do evento, a previsão de público, a ocorrência de outros eventos na região, condições climáticas e limitações do espaço físico. </w:t>
      </w:r>
    </w:p>
    <w:p w:rsidR="009B714E" w:rsidRDefault="00B50269">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 xml:space="preserve">Dessa forma, a adoção do Sistema de Registro de Preços mostra-se a alternativa mais adequada sob o ponto de vista técnico e administrativo, pois permite que a Administração realize as contratações conforme a demanda efetivamente constatada, evitando superdimensionamento ou insuficiência de estrutura. Trata-se de serviços cuja necessidade é recorrente ao longo do exercício, porém com </w:t>
      </w:r>
      <w:proofErr w:type="gramStart"/>
      <w:r>
        <w:rPr>
          <w:rFonts w:ascii="Arial" w:eastAsia="Arial" w:hAnsi="Arial" w:cs="Arial"/>
          <w:sz w:val="22"/>
          <w:szCs w:val="22"/>
        </w:rPr>
        <w:t>qu</w:t>
      </w:r>
      <w:r w:rsidR="00B91AC7">
        <w:rPr>
          <w:rFonts w:ascii="Arial" w:eastAsia="Arial" w:hAnsi="Arial" w:cs="Arial"/>
          <w:sz w:val="22"/>
          <w:szCs w:val="22"/>
        </w:rPr>
        <w:t xml:space="preserve">antitativos </w:t>
      </w:r>
      <w:r>
        <w:rPr>
          <w:rFonts w:ascii="Arial" w:eastAsia="Arial" w:hAnsi="Arial" w:cs="Arial"/>
          <w:sz w:val="22"/>
          <w:szCs w:val="22"/>
        </w:rPr>
        <w:t>variáveis</w:t>
      </w:r>
      <w:proofErr w:type="gramEnd"/>
      <w:r>
        <w:rPr>
          <w:rFonts w:ascii="Arial" w:eastAsia="Arial" w:hAnsi="Arial" w:cs="Arial"/>
          <w:sz w:val="22"/>
          <w:szCs w:val="22"/>
        </w:rPr>
        <w:t xml:space="preserve"> e imprevisíveis, especialmente considerando o calendário de eventos culturais, turísticos e institucionais do Município.</w:t>
      </w:r>
    </w:p>
    <w:p w:rsidR="009B714E" w:rsidRDefault="00B50269">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Além disso, a definição adequada da estrutura impacta diretamente na segurança do público, no atendimento às normas de acessibilidade, inclusive com a disponibilização de unidades adaptadas para Pessoas com Deficiência (PCD), no cumprimento das exigências dos órgãos de fiscalização e na garantia de conforto e dignidade aos participantes. A possibilidade de contratação parcelada, conforme a necessidade de cada evento, assegura maior economicidade, eficiência na gestão dos recursos públicos e flexibilidade operacional, sem comprometer a qualidade da infraestrutura ofertada.</w:t>
      </w:r>
    </w:p>
    <w:p w:rsidR="009B714E" w:rsidRDefault="00B50269">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Assim, o registro de preços garante planejamento prévio, padronização dos serviços, celeridade nas futuras contratações e atendimento tempestivo às demandas que surgirem, promovendo maior eficiência administrativa e segurança jurídica ao processo.</w:t>
      </w:r>
    </w:p>
    <w:p w:rsidR="009B714E" w:rsidRDefault="009B714E">
      <w:pPr>
        <w:jc w:val="both"/>
        <w:rPr>
          <w:rFonts w:ascii="Arial" w:eastAsia="Arial" w:hAnsi="Arial" w:cs="Arial"/>
          <w:sz w:val="22"/>
          <w:szCs w:val="22"/>
        </w:rPr>
      </w:pPr>
    </w:p>
    <w:p w:rsidR="009B714E" w:rsidRDefault="00B50269">
      <w:pPr>
        <w:pBdr>
          <w:top w:val="nil"/>
          <w:left w:val="nil"/>
          <w:bottom w:val="nil"/>
          <w:right w:val="nil"/>
          <w:between w:val="nil"/>
        </w:pBdr>
        <w:ind w:left="360"/>
        <w:jc w:val="both"/>
        <w:rPr>
          <w:rFonts w:ascii="Arial" w:eastAsia="Arial" w:hAnsi="Arial" w:cs="Arial"/>
          <w:b/>
          <w:bCs/>
          <w:color w:val="FF0000"/>
          <w:sz w:val="22"/>
          <w:szCs w:val="22"/>
        </w:rPr>
      </w:pPr>
      <w:r>
        <w:rPr>
          <w:rFonts w:ascii="Arial" w:eastAsia="Arial" w:hAnsi="Arial" w:cs="Arial"/>
          <w:b/>
          <w:bCs/>
          <w:color w:val="000000"/>
          <w:sz w:val="22"/>
          <w:szCs w:val="22"/>
        </w:rPr>
        <w:t xml:space="preserve">4. SECRETARIA REQUISITANTE </w:t>
      </w:r>
    </w:p>
    <w:p w:rsidR="009B714E" w:rsidRDefault="009B714E">
      <w:pPr>
        <w:pBdr>
          <w:top w:val="nil"/>
          <w:left w:val="nil"/>
          <w:bottom w:val="nil"/>
          <w:right w:val="nil"/>
          <w:between w:val="nil"/>
        </w:pBdr>
        <w:ind w:left="360"/>
        <w:jc w:val="both"/>
        <w:rPr>
          <w:rFonts w:ascii="Arial" w:eastAsia="Arial" w:hAnsi="Arial" w:cs="Arial"/>
          <w:b/>
          <w:bCs/>
          <w:color w:val="000000"/>
          <w:sz w:val="22"/>
          <w:szCs w:val="22"/>
        </w:rPr>
      </w:pPr>
    </w:p>
    <w:p w:rsidR="009B714E" w:rsidRDefault="00B50269">
      <w:pPr>
        <w:pBdr>
          <w:top w:val="nil"/>
          <w:left w:val="nil"/>
          <w:bottom w:val="nil"/>
          <w:right w:val="nil"/>
          <w:between w:val="nil"/>
        </w:pBdr>
        <w:spacing w:line="360" w:lineRule="auto"/>
        <w:ind w:firstLine="720"/>
        <w:jc w:val="both"/>
        <w:rPr>
          <w:rFonts w:ascii="Arial" w:eastAsia="Arial" w:hAnsi="Arial" w:cs="Arial"/>
          <w:sz w:val="22"/>
          <w:szCs w:val="22"/>
        </w:rPr>
      </w:pPr>
      <w:r>
        <w:rPr>
          <w:rFonts w:ascii="Arial" w:eastAsia="Arial" w:hAnsi="Arial" w:cs="Arial"/>
          <w:sz w:val="22"/>
          <w:szCs w:val="22"/>
        </w:rPr>
        <w:t xml:space="preserve">Secretaria de Cultura, Turismo, </w:t>
      </w:r>
      <w:r>
        <w:rPr>
          <w:rFonts w:ascii="Arial" w:eastAsia="Arial" w:hAnsi="Arial" w:cs="Arial"/>
          <w:sz w:val="22"/>
          <w:szCs w:val="22"/>
          <w:highlight w:val="white"/>
        </w:rPr>
        <w:t>Saúde, Assistência Social e Agricultura e Meio Ambiente</w:t>
      </w:r>
      <w:r>
        <w:rPr>
          <w:rFonts w:ascii="Arial" w:eastAsia="Arial" w:hAnsi="Arial" w:cs="Arial"/>
          <w:sz w:val="22"/>
          <w:szCs w:val="22"/>
        </w:rPr>
        <w:t>.</w:t>
      </w:r>
    </w:p>
    <w:p w:rsidR="009B714E" w:rsidRDefault="009B714E">
      <w:pPr>
        <w:pBdr>
          <w:top w:val="nil"/>
          <w:left w:val="nil"/>
          <w:bottom w:val="nil"/>
          <w:right w:val="nil"/>
          <w:between w:val="nil"/>
        </w:pBdr>
        <w:jc w:val="both"/>
        <w:rPr>
          <w:rFonts w:ascii="Arial" w:eastAsia="Arial" w:hAnsi="Arial" w:cs="Arial"/>
          <w:sz w:val="22"/>
          <w:szCs w:val="22"/>
        </w:rPr>
      </w:pPr>
    </w:p>
    <w:p w:rsidR="009B714E" w:rsidRDefault="00B50269">
      <w:pPr>
        <w:numPr>
          <w:ilvl w:val="0"/>
          <w:numId w:val="2"/>
        </w:numPr>
        <w:pBdr>
          <w:top w:val="nil"/>
          <w:left w:val="nil"/>
          <w:bottom w:val="nil"/>
          <w:right w:val="nil"/>
          <w:between w:val="nil"/>
        </w:pBdr>
        <w:ind w:hanging="360"/>
        <w:jc w:val="both"/>
        <w:rPr>
          <w:rFonts w:ascii="Arial" w:eastAsia="Arial" w:hAnsi="Arial" w:cs="Arial"/>
          <w:sz w:val="22"/>
          <w:szCs w:val="22"/>
        </w:rPr>
      </w:pPr>
      <w:r>
        <w:rPr>
          <w:rFonts w:ascii="Arial" w:eastAsia="Arial" w:hAnsi="Arial" w:cs="Arial"/>
          <w:b/>
          <w:bCs/>
          <w:sz w:val="22"/>
          <w:szCs w:val="22"/>
        </w:rPr>
        <w:t>PREVISÃO DA DEMANDA NO PLANO ANUAL DE CONTRATAÇÕES (PCA) DE 2026:</w:t>
      </w:r>
    </w:p>
    <w:p w:rsidR="009B714E" w:rsidRDefault="009B714E">
      <w:pPr>
        <w:pBdr>
          <w:top w:val="nil"/>
          <w:left w:val="nil"/>
          <w:bottom w:val="nil"/>
          <w:right w:val="nil"/>
          <w:between w:val="nil"/>
        </w:pBdr>
        <w:ind w:left="644"/>
        <w:jc w:val="both"/>
        <w:rPr>
          <w:rFonts w:ascii="Arial" w:eastAsia="Arial" w:hAnsi="Arial" w:cs="Arial"/>
          <w:sz w:val="22"/>
          <w:szCs w:val="22"/>
        </w:rPr>
      </w:pPr>
    </w:p>
    <w:p w:rsidR="009B714E" w:rsidRDefault="00B50269">
      <w:pPr>
        <w:ind w:left="720"/>
        <w:jc w:val="both"/>
        <w:rPr>
          <w:rFonts w:ascii="Arial" w:eastAsia="Arial" w:hAnsi="Arial" w:cs="Arial"/>
          <w:sz w:val="22"/>
          <w:szCs w:val="22"/>
        </w:rPr>
      </w:pPr>
      <w:r>
        <w:rPr>
          <w:rFonts w:ascii="Arial" w:eastAsia="Arial" w:hAnsi="Arial" w:cs="Arial"/>
          <w:sz w:val="22"/>
          <w:szCs w:val="22"/>
        </w:rPr>
        <w:t>Ação nº 181</w:t>
      </w:r>
      <w:r>
        <w:rPr>
          <w:rFonts w:ascii="Arial" w:eastAsia="Arial" w:hAnsi="Arial" w:cs="Arial"/>
          <w:color w:val="FF0000"/>
          <w:sz w:val="22"/>
          <w:szCs w:val="22"/>
        </w:rPr>
        <w:t xml:space="preserve"> </w:t>
      </w:r>
      <w:r>
        <w:rPr>
          <w:rFonts w:ascii="Arial" w:eastAsia="Arial" w:hAnsi="Arial" w:cs="Arial"/>
          <w:sz w:val="22"/>
          <w:szCs w:val="22"/>
        </w:rPr>
        <w:t>- Prestação de Serviços locação de banheiros container e tendas</w:t>
      </w:r>
      <w:r w:rsidR="00076962">
        <w:rPr>
          <w:rFonts w:ascii="Arial" w:eastAsia="Arial" w:hAnsi="Arial" w:cs="Arial"/>
          <w:sz w:val="22"/>
          <w:szCs w:val="22"/>
        </w:rPr>
        <w:t>.</w:t>
      </w:r>
    </w:p>
    <w:p w:rsidR="009B714E" w:rsidRDefault="009B714E" w:rsidP="00076962">
      <w:pPr>
        <w:pBdr>
          <w:top w:val="nil"/>
          <w:left w:val="nil"/>
          <w:bottom w:val="nil"/>
          <w:right w:val="nil"/>
          <w:between w:val="nil"/>
        </w:pBdr>
        <w:jc w:val="both"/>
        <w:rPr>
          <w:rFonts w:ascii="Arial" w:eastAsia="Arial" w:hAnsi="Arial" w:cs="Arial"/>
          <w:color w:val="FF0000"/>
          <w:sz w:val="22"/>
          <w:szCs w:val="22"/>
        </w:rPr>
      </w:pPr>
    </w:p>
    <w:p w:rsidR="009B714E" w:rsidRDefault="009B714E">
      <w:pPr>
        <w:pBdr>
          <w:top w:val="nil"/>
          <w:left w:val="nil"/>
          <w:bottom w:val="nil"/>
          <w:right w:val="nil"/>
          <w:between w:val="nil"/>
        </w:pBdr>
        <w:ind w:left="360"/>
        <w:jc w:val="both"/>
        <w:rPr>
          <w:rFonts w:ascii="Arial" w:eastAsia="Arial" w:hAnsi="Arial" w:cs="Arial"/>
          <w:color w:val="000000"/>
          <w:sz w:val="22"/>
          <w:szCs w:val="22"/>
        </w:rPr>
      </w:pPr>
    </w:p>
    <w:p w:rsidR="009B714E" w:rsidRDefault="00B50269">
      <w:pPr>
        <w:numPr>
          <w:ilvl w:val="0"/>
          <w:numId w:val="2"/>
        </w:numPr>
        <w:pBdr>
          <w:top w:val="nil"/>
          <w:left w:val="nil"/>
          <w:bottom w:val="nil"/>
          <w:right w:val="nil"/>
          <w:between w:val="nil"/>
        </w:pBdr>
        <w:ind w:hanging="360"/>
        <w:jc w:val="both"/>
        <w:rPr>
          <w:rFonts w:ascii="Arial" w:eastAsia="Arial" w:hAnsi="Arial" w:cs="Arial"/>
          <w:i/>
          <w:iCs/>
          <w:sz w:val="22"/>
          <w:szCs w:val="22"/>
        </w:rPr>
      </w:pPr>
      <w:r>
        <w:rPr>
          <w:rFonts w:ascii="Arial" w:eastAsia="Arial" w:hAnsi="Arial" w:cs="Arial"/>
          <w:b/>
          <w:bCs/>
          <w:color w:val="000000"/>
          <w:sz w:val="22"/>
          <w:szCs w:val="22"/>
        </w:rPr>
        <w:t xml:space="preserve">REQUISITOS DA CONTRATAÇÃO </w:t>
      </w:r>
    </w:p>
    <w:p w:rsidR="009B714E" w:rsidRDefault="009B714E">
      <w:pPr>
        <w:pBdr>
          <w:top w:val="nil"/>
          <w:left w:val="nil"/>
          <w:bottom w:val="nil"/>
          <w:right w:val="nil"/>
          <w:between w:val="nil"/>
        </w:pBdr>
        <w:ind w:left="644"/>
        <w:jc w:val="both"/>
        <w:rPr>
          <w:rFonts w:ascii="Arial" w:eastAsia="Arial" w:hAnsi="Arial" w:cs="Arial"/>
          <w:b/>
          <w:bCs/>
          <w:sz w:val="22"/>
          <w:szCs w:val="22"/>
        </w:rPr>
      </w:pPr>
    </w:p>
    <w:p w:rsidR="009B714E" w:rsidRDefault="00B50269" w:rsidP="00076962">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 xml:space="preserve">Fornecimento, montagem, desmontagem, transporte, instalação, manutenção e suporte técnico de locação de tendas adequados ao porte e às necessidades específicas de </w:t>
      </w:r>
      <w:r>
        <w:rPr>
          <w:rFonts w:ascii="Arial" w:eastAsia="Arial" w:hAnsi="Arial" w:cs="Arial"/>
          <w:sz w:val="22"/>
          <w:szCs w:val="22"/>
        </w:rPr>
        <w:lastRenderedPageBreak/>
        <w:t>cada evento, garantindo segurança estrutural, estabilidade, resistência às condições climáticas e atendimento às exigências técnicas dos artistas e equipes envolvidas.</w:t>
      </w:r>
    </w:p>
    <w:p w:rsidR="009B714E" w:rsidRDefault="00B50269" w:rsidP="00076962">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 xml:space="preserve">Locação de banheiros tipo contêiner, incluindo unidades adaptadas para Pessoas com Deficiência (PCD), devidamente equipados, higienizados e em pleno </w:t>
      </w:r>
      <w:r w:rsidR="00076962">
        <w:rPr>
          <w:rFonts w:ascii="Arial" w:eastAsia="Arial" w:hAnsi="Arial" w:cs="Arial"/>
          <w:sz w:val="22"/>
          <w:szCs w:val="22"/>
        </w:rPr>
        <w:t>funcionamento, assegurando</w:t>
      </w:r>
      <w:r>
        <w:rPr>
          <w:rFonts w:ascii="Arial" w:eastAsia="Arial" w:hAnsi="Arial" w:cs="Arial"/>
          <w:sz w:val="22"/>
          <w:szCs w:val="22"/>
        </w:rPr>
        <w:t xml:space="preserve"> condições adequadas de higiene, conforto e acessibilidade ao público.</w:t>
      </w:r>
    </w:p>
    <w:p w:rsidR="009B714E" w:rsidRDefault="00B50269" w:rsidP="00076962">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Flexibilidade para dimensionamento das estruturas (tendas e banheiros) conforme as características específicas de cada evento, considerando variáveis como estimativa de público, tipo de programação, espaço físico disponível, condições climáticas, duração da programação e exigências legais.</w:t>
      </w:r>
    </w:p>
    <w:p w:rsidR="009B714E" w:rsidRDefault="00B50269" w:rsidP="00076962">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Cumprimento rigoroso de todas as normas técnicas e regulamentações aplicáveis, incluindo normas de segurança estrutural, prevenção e combate a incêndio, acessibilidade, higiene, vigilância sanitária e demais exigências dos órgãos fiscalizadores competentes.</w:t>
      </w:r>
    </w:p>
    <w:p w:rsidR="009B714E" w:rsidRDefault="00B50269" w:rsidP="00076962">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Disponibilidade para atendimento em diferentes locais do Município, inclusive áreas urbanas e rurais, em datas diversas ao longo do exercício, conforme a programação da Secretaria Municipal de Cultura e demais secretarias envolvidas na realização de eventos oficiais.</w:t>
      </w:r>
    </w:p>
    <w:p w:rsidR="009B714E" w:rsidRDefault="009B714E">
      <w:pPr>
        <w:pBdr>
          <w:top w:val="nil"/>
          <w:left w:val="nil"/>
          <w:bottom w:val="nil"/>
          <w:right w:val="nil"/>
          <w:between w:val="nil"/>
        </w:pBdr>
        <w:rPr>
          <w:rFonts w:ascii="Arial" w:eastAsia="Arial" w:hAnsi="Arial" w:cs="Arial"/>
          <w:color w:val="000000"/>
          <w:sz w:val="22"/>
          <w:szCs w:val="22"/>
        </w:rPr>
      </w:pPr>
    </w:p>
    <w:p w:rsidR="009B714E" w:rsidRDefault="00B50269">
      <w:pPr>
        <w:numPr>
          <w:ilvl w:val="0"/>
          <w:numId w:val="2"/>
        </w:numPr>
        <w:pBdr>
          <w:top w:val="nil"/>
          <w:left w:val="nil"/>
          <w:bottom w:val="nil"/>
          <w:right w:val="nil"/>
          <w:between w:val="nil"/>
        </w:pBdr>
        <w:ind w:hanging="360"/>
        <w:jc w:val="both"/>
        <w:rPr>
          <w:rFonts w:ascii="Arial" w:eastAsia="Arial" w:hAnsi="Arial" w:cs="Arial"/>
          <w:sz w:val="22"/>
          <w:szCs w:val="22"/>
        </w:rPr>
      </w:pPr>
      <w:r>
        <w:rPr>
          <w:rFonts w:ascii="Arial" w:eastAsia="Arial" w:hAnsi="Arial" w:cs="Arial"/>
          <w:b/>
          <w:bCs/>
          <w:color w:val="000000"/>
          <w:sz w:val="22"/>
          <w:szCs w:val="22"/>
        </w:rPr>
        <w:t xml:space="preserve">LEVANTAMENTO DE MERCADO </w:t>
      </w:r>
    </w:p>
    <w:p w:rsidR="009B714E" w:rsidRDefault="009B714E">
      <w:pPr>
        <w:pBdr>
          <w:top w:val="nil"/>
          <w:left w:val="nil"/>
          <w:bottom w:val="nil"/>
          <w:right w:val="nil"/>
          <w:between w:val="nil"/>
        </w:pBdr>
        <w:ind w:left="284"/>
        <w:jc w:val="both"/>
        <w:rPr>
          <w:rFonts w:ascii="Arial" w:eastAsia="Arial" w:hAnsi="Arial" w:cs="Arial"/>
          <w:sz w:val="22"/>
          <w:szCs w:val="22"/>
        </w:rPr>
      </w:pPr>
    </w:p>
    <w:p w:rsidR="009B714E" w:rsidRDefault="00B50269">
      <w:pPr>
        <w:pBdr>
          <w:top w:val="nil"/>
          <w:left w:val="nil"/>
          <w:bottom w:val="nil"/>
          <w:right w:val="nil"/>
          <w:between w:val="nil"/>
        </w:pBdr>
        <w:spacing w:line="360" w:lineRule="auto"/>
        <w:ind w:firstLine="720"/>
        <w:jc w:val="both"/>
        <w:rPr>
          <w:rFonts w:ascii="Arial" w:eastAsia="Arial" w:hAnsi="Arial" w:cs="Arial"/>
          <w:sz w:val="22"/>
          <w:szCs w:val="22"/>
        </w:rPr>
      </w:pPr>
      <w:r>
        <w:rPr>
          <w:rFonts w:ascii="Arial" w:eastAsia="Arial" w:hAnsi="Arial" w:cs="Arial"/>
          <w:sz w:val="22"/>
          <w:szCs w:val="22"/>
        </w:rPr>
        <w:t>O mercado dispõe de inúmeras empresas na região que oferecem esse serviço, foram analisadas contratações similares feitas por outros órgãos e entidades, por meio de consultas ao painel de preços governamental e contratações de municípios vizinhos, essa contratação já é realizada a muito tempo pela administração municipal, devido à natureza do serviço ser comum.</w:t>
      </w:r>
    </w:p>
    <w:p w:rsidR="009B714E" w:rsidRDefault="009B714E">
      <w:pPr>
        <w:pBdr>
          <w:top w:val="nil"/>
          <w:left w:val="nil"/>
          <w:bottom w:val="nil"/>
          <w:right w:val="nil"/>
          <w:between w:val="nil"/>
        </w:pBdr>
        <w:spacing w:line="360" w:lineRule="auto"/>
        <w:ind w:firstLine="720"/>
        <w:jc w:val="both"/>
        <w:rPr>
          <w:rFonts w:ascii="Arial" w:eastAsia="Arial" w:hAnsi="Arial" w:cs="Arial"/>
          <w:sz w:val="22"/>
          <w:szCs w:val="22"/>
        </w:rPr>
      </w:pPr>
    </w:p>
    <w:p w:rsidR="009B714E" w:rsidRDefault="00DE5B09">
      <w:pPr>
        <w:widowControl w:val="0"/>
        <w:pBdr>
          <w:top w:val="nil"/>
          <w:left w:val="nil"/>
          <w:bottom w:val="nil"/>
          <w:right w:val="nil"/>
          <w:between w:val="nil"/>
        </w:pBdr>
        <w:tabs>
          <w:tab w:val="left" w:pos="582"/>
          <w:tab w:val="left" w:pos="867"/>
          <w:tab w:val="left" w:pos="1167"/>
          <w:tab w:val="left" w:pos="1422"/>
          <w:tab w:val="left" w:pos="1677"/>
          <w:tab w:val="left" w:pos="1992"/>
          <w:tab w:val="left" w:pos="2247"/>
          <w:tab w:val="left" w:pos="7363"/>
        </w:tabs>
        <w:spacing w:before="57" w:after="57"/>
        <w:ind w:left="27"/>
        <w:jc w:val="both"/>
        <w:rPr>
          <w:rFonts w:ascii="Arial" w:eastAsia="Arial" w:hAnsi="Arial" w:cs="Arial"/>
          <w:b/>
          <w:bCs/>
          <w:color w:val="000000"/>
          <w:sz w:val="22"/>
          <w:szCs w:val="22"/>
        </w:rPr>
      </w:pPr>
      <w:r>
        <w:rPr>
          <w:rFonts w:ascii="Arial" w:eastAsia="Arial" w:hAnsi="Arial" w:cs="Arial"/>
          <w:b/>
          <w:bCs/>
          <w:color w:val="000000"/>
          <w:sz w:val="22"/>
          <w:szCs w:val="22"/>
        </w:rPr>
        <w:t xml:space="preserve">7.1 </w:t>
      </w:r>
      <w:r w:rsidR="00B50269">
        <w:rPr>
          <w:rFonts w:ascii="Arial" w:eastAsia="Arial" w:hAnsi="Arial" w:cs="Arial"/>
          <w:b/>
          <w:bCs/>
          <w:color w:val="000000"/>
          <w:sz w:val="22"/>
          <w:szCs w:val="22"/>
        </w:rPr>
        <w:t>IDENTIFICAÇÃO DAS SOLUÇÕES</w:t>
      </w:r>
    </w:p>
    <w:p w:rsidR="009B714E" w:rsidRDefault="009B714E">
      <w:pPr>
        <w:widowControl w:val="0"/>
        <w:pBdr>
          <w:top w:val="nil"/>
          <w:left w:val="nil"/>
          <w:bottom w:val="nil"/>
          <w:right w:val="nil"/>
          <w:between w:val="nil"/>
        </w:pBdr>
        <w:tabs>
          <w:tab w:val="left" w:pos="582"/>
          <w:tab w:val="left" w:pos="867"/>
          <w:tab w:val="left" w:pos="1167"/>
          <w:tab w:val="left" w:pos="1422"/>
          <w:tab w:val="left" w:pos="1677"/>
          <w:tab w:val="left" w:pos="1992"/>
          <w:tab w:val="left" w:pos="2247"/>
          <w:tab w:val="left" w:pos="7363"/>
        </w:tabs>
        <w:spacing w:before="57" w:after="57"/>
        <w:ind w:left="27"/>
        <w:jc w:val="both"/>
        <w:rPr>
          <w:rFonts w:ascii="Arial" w:eastAsia="Arial" w:hAnsi="Arial" w:cs="Arial"/>
          <w:b/>
          <w:bCs/>
          <w:color w:val="000000"/>
          <w:sz w:val="22"/>
          <w:szCs w:val="22"/>
        </w:rPr>
      </w:pPr>
    </w:p>
    <w:tbl>
      <w:tblPr>
        <w:tblStyle w:val="ac"/>
        <w:tblW w:w="8788" w:type="dxa"/>
        <w:tblInd w:w="0" w:type="dxa"/>
        <w:tblLayout w:type="fixed"/>
        <w:tblLook w:val="0400" w:firstRow="0" w:lastRow="0" w:firstColumn="0" w:lastColumn="0" w:noHBand="0" w:noVBand="1"/>
      </w:tblPr>
      <w:tblGrid>
        <w:gridCol w:w="600"/>
        <w:gridCol w:w="8188"/>
      </w:tblGrid>
      <w:tr w:rsidR="009B714E">
        <w:tc>
          <w:tcPr>
            <w:tcW w:w="600" w:type="dxa"/>
            <w:tcBorders>
              <w:top w:val="single" w:sz="4" w:space="0" w:color="808080"/>
              <w:left w:val="single" w:sz="4" w:space="0" w:color="808080"/>
              <w:bottom w:val="single" w:sz="4" w:space="0" w:color="808080"/>
            </w:tcBorders>
            <w:shd w:val="clear" w:color="auto" w:fill="DDDDDD"/>
            <w:tcMar>
              <w:top w:w="55" w:type="dxa"/>
              <w:left w:w="55" w:type="dxa"/>
              <w:bottom w:w="55" w:type="dxa"/>
              <w:right w:w="55" w:type="dxa"/>
            </w:tcMar>
            <w:vAlign w:val="center"/>
          </w:tcPr>
          <w:p w:rsidR="009B714E" w:rsidRDefault="00B50269">
            <w:pPr>
              <w:widowControl w:val="0"/>
              <w:pBdr>
                <w:top w:val="nil"/>
                <w:left w:val="nil"/>
                <w:bottom w:val="nil"/>
                <w:right w:val="nil"/>
                <w:between w:val="nil"/>
              </w:pBdr>
              <w:jc w:val="center"/>
              <w:rPr>
                <w:rFonts w:ascii="Arial" w:eastAsia="Arial" w:hAnsi="Arial" w:cs="Arial"/>
                <w:b/>
                <w:bCs/>
                <w:color w:val="000000"/>
                <w:sz w:val="22"/>
                <w:szCs w:val="22"/>
              </w:rPr>
            </w:pPr>
            <w:r>
              <w:rPr>
                <w:rFonts w:ascii="Arial" w:eastAsia="Arial" w:hAnsi="Arial" w:cs="Arial"/>
                <w:b/>
                <w:bCs/>
                <w:color w:val="000000"/>
                <w:sz w:val="22"/>
                <w:szCs w:val="22"/>
              </w:rPr>
              <w:t>Id</w:t>
            </w:r>
          </w:p>
        </w:tc>
        <w:tc>
          <w:tcPr>
            <w:tcW w:w="8188" w:type="dxa"/>
            <w:tcBorders>
              <w:top w:val="single" w:sz="4" w:space="0" w:color="808080"/>
              <w:left w:val="single" w:sz="4" w:space="0" w:color="808080"/>
              <w:bottom w:val="single" w:sz="4" w:space="0" w:color="808080"/>
              <w:right w:val="single" w:sz="4" w:space="0" w:color="808080"/>
            </w:tcBorders>
            <w:shd w:val="clear" w:color="auto" w:fill="DDDDDD"/>
            <w:tcMar>
              <w:top w:w="55" w:type="dxa"/>
              <w:left w:w="55" w:type="dxa"/>
              <w:bottom w:w="55" w:type="dxa"/>
              <w:right w:w="55" w:type="dxa"/>
            </w:tcMar>
            <w:vAlign w:val="center"/>
          </w:tcPr>
          <w:p w:rsidR="009B714E" w:rsidRDefault="00B50269">
            <w:pPr>
              <w:widowControl w:val="0"/>
              <w:pBdr>
                <w:top w:val="nil"/>
                <w:left w:val="nil"/>
                <w:bottom w:val="nil"/>
                <w:right w:val="nil"/>
                <w:between w:val="nil"/>
              </w:pBdr>
              <w:jc w:val="center"/>
              <w:rPr>
                <w:rFonts w:ascii="Arial" w:eastAsia="Arial" w:hAnsi="Arial" w:cs="Arial"/>
                <w:b/>
                <w:bCs/>
                <w:color w:val="000000"/>
                <w:sz w:val="22"/>
                <w:szCs w:val="22"/>
              </w:rPr>
            </w:pPr>
            <w:r>
              <w:rPr>
                <w:rFonts w:ascii="Arial" w:eastAsia="Arial" w:hAnsi="Arial" w:cs="Arial"/>
                <w:b/>
                <w:bCs/>
                <w:color w:val="000000"/>
                <w:sz w:val="22"/>
                <w:szCs w:val="22"/>
              </w:rPr>
              <w:t>Descrição da solução (ou cenário)</w:t>
            </w:r>
          </w:p>
        </w:tc>
      </w:tr>
      <w:tr w:rsidR="009B714E">
        <w:tc>
          <w:tcPr>
            <w:tcW w:w="600" w:type="dxa"/>
            <w:tcBorders>
              <w:left w:val="single" w:sz="4" w:space="0" w:color="808080"/>
              <w:bottom w:val="single" w:sz="4" w:space="0" w:color="808080"/>
            </w:tcBorders>
            <w:shd w:val="clear" w:color="auto" w:fill="auto"/>
            <w:tcMar>
              <w:top w:w="55" w:type="dxa"/>
              <w:left w:w="55" w:type="dxa"/>
              <w:bottom w:w="55" w:type="dxa"/>
              <w:right w:w="55" w:type="dxa"/>
            </w:tcMar>
            <w:vAlign w:val="center"/>
          </w:tcPr>
          <w:p w:rsidR="009B714E" w:rsidRDefault="00B50269">
            <w:pPr>
              <w:widowControl w:val="0"/>
              <w:pBdr>
                <w:top w:val="nil"/>
                <w:left w:val="nil"/>
                <w:bottom w:val="nil"/>
                <w:right w:val="nil"/>
                <w:between w:val="nil"/>
              </w:pBdr>
              <w:tabs>
                <w:tab w:val="left" w:pos="-302"/>
              </w:tabs>
              <w:jc w:val="center"/>
              <w:rPr>
                <w:rFonts w:ascii="Arial" w:eastAsia="Arial" w:hAnsi="Arial" w:cs="Arial"/>
                <w:color w:val="000000"/>
                <w:sz w:val="22"/>
                <w:szCs w:val="22"/>
                <w:highlight w:val="lightGray"/>
              </w:rPr>
            </w:pPr>
            <w:r>
              <w:rPr>
                <w:rFonts w:ascii="Arial" w:eastAsia="Arial" w:hAnsi="Arial" w:cs="Arial"/>
                <w:color w:val="000000"/>
                <w:sz w:val="22"/>
                <w:szCs w:val="22"/>
              </w:rPr>
              <w:t>1</w:t>
            </w:r>
          </w:p>
        </w:tc>
        <w:tc>
          <w:tcPr>
            <w:tcW w:w="8188" w:type="dxa"/>
            <w:tcBorders>
              <w:left w:val="single" w:sz="4" w:space="0" w:color="808080"/>
              <w:bottom w:val="single" w:sz="4" w:space="0" w:color="808080"/>
              <w:right w:val="single" w:sz="4" w:space="0" w:color="808080"/>
            </w:tcBorders>
            <w:shd w:val="clear" w:color="auto" w:fill="auto"/>
            <w:tcMar>
              <w:top w:w="55" w:type="dxa"/>
              <w:left w:w="55" w:type="dxa"/>
              <w:bottom w:w="55" w:type="dxa"/>
              <w:right w:w="55" w:type="dxa"/>
            </w:tcMar>
            <w:vAlign w:val="center"/>
          </w:tcPr>
          <w:p w:rsidR="009B714E" w:rsidRDefault="00B50269">
            <w:pPr>
              <w:rPr>
                <w:rFonts w:ascii="Arial" w:eastAsia="Arial" w:hAnsi="Arial" w:cs="Arial"/>
                <w:color w:val="000000"/>
                <w:sz w:val="22"/>
                <w:szCs w:val="22"/>
                <w:highlight w:val="lightGray"/>
              </w:rPr>
            </w:pPr>
            <w:r>
              <w:rPr>
                <w:rFonts w:ascii="Arial" w:eastAsia="Arial" w:hAnsi="Arial" w:cs="Arial"/>
                <w:color w:val="000000"/>
                <w:sz w:val="22"/>
                <w:szCs w:val="22"/>
              </w:rPr>
              <w:t>Compra</w:t>
            </w:r>
          </w:p>
        </w:tc>
      </w:tr>
      <w:tr w:rsidR="009B714E">
        <w:tc>
          <w:tcPr>
            <w:tcW w:w="600" w:type="dxa"/>
            <w:tcBorders>
              <w:left w:val="single" w:sz="4" w:space="0" w:color="808080"/>
              <w:bottom w:val="single" w:sz="4" w:space="0" w:color="808080"/>
            </w:tcBorders>
            <w:shd w:val="clear" w:color="auto" w:fill="auto"/>
            <w:tcMar>
              <w:top w:w="55" w:type="dxa"/>
              <w:left w:w="55" w:type="dxa"/>
              <w:bottom w:w="55" w:type="dxa"/>
              <w:right w:w="55" w:type="dxa"/>
            </w:tcMar>
            <w:vAlign w:val="center"/>
          </w:tcPr>
          <w:p w:rsidR="009B714E" w:rsidRDefault="00B50269">
            <w:pPr>
              <w:widowControl w:val="0"/>
              <w:pBdr>
                <w:top w:val="nil"/>
                <w:left w:val="nil"/>
                <w:bottom w:val="nil"/>
                <w:right w:val="nil"/>
                <w:between w:val="nil"/>
              </w:pBdr>
              <w:tabs>
                <w:tab w:val="left" w:pos="-302"/>
              </w:tabs>
              <w:jc w:val="center"/>
              <w:rPr>
                <w:rFonts w:ascii="Arial" w:eastAsia="Arial" w:hAnsi="Arial" w:cs="Arial"/>
                <w:color w:val="000000"/>
                <w:sz w:val="22"/>
                <w:szCs w:val="22"/>
              </w:rPr>
            </w:pPr>
            <w:r>
              <w:rPr>
                <w:rFonts w:ascii="Arial" w:eastAsia="Arial" w:hAnsi="Arial" w:cs="Arial"/>
                <w:color w:val="000000"/>
                <w:sz w:val="22"/>
                <w:szCs w:val="22"/>
              </w:rPr>
              <w:t>2</w:t>
            </w:r>
          </w:p>
        </w:tc>
        <w:tc>
          <w:tcPr>
            <w:tcW w:w="8188" w:type="dxa"/>
            <w:tcBorders>
              <w:left w:val="single" w:sz="4" w:space="0" w:color="808080"/>
              <w:bottom w:val="single" w:sz="4" w:space="0" w:color="808080"/>
              <w:right w:val="single" w:sz="4" w:space="0" w:color="808080"/>
            </w:tcBorders>
            <w:shd w:val="clear" w:color="auto" w:fill="auto"/>
            <w:tcMar>
              <w:top w:w="55" w:type="dxa"/>
              <w:left w:w="55" w:type="dxa"/>
              <w:bottom w:w="55" w:type="dxa"/>
              <w:right w:w="55" w:type="dxa"/>
            </w:tcMar>
            <w:vAlign w:val="center"/>
          </w:tcPr>
          <w:p w:rsidR="009B714E" w:rsidRDefault="00B50269">
            <w:pPr>
              <w:rPr>
                <w:rFonts w:ascii="Arial" w:eastAsia="Arial" w:hAnsi="Arial" w:cs="Arial"/>
                <w:color w:val="000000"/>
                <w:sz w:val="22"/>
                <w:szCs w:val="22"/>
              </w:rPr>
            </w:pPr>
            <w:r>
              <w:rPr>
                <w:rFonts w:ascii="Arial" w:eastAsia="Arial" w:hAnsi="Arial" w:cs="Arial"/>
                <w:color w:val="000000"/>
                <w:sz w:val="22"/>
                <w:szCs w:val="22"/>
              </w:rPr>
              <w:t>Locação</w:t>
            </w:r>
          </w:p>
        </w:tc>
      </w:tr>
    </w:tbl>
    <w:p w:rsidR="009B714E" w:rsidRDefault="009B714E">
      <w:pPr>
        <w:widowControl w:val="0"/>
        <w:pBdr>
          <w:top w:val="nil"/>
          <w:left w:val="nil"/>
          <w:bottom w:val="nil"/>
          <w:right w:val="nil"/>
          <w:between w:val="nil"/>
        </w:pBdr>
        <w:tabs>
          <w:tab w:val="left" w:pos="582"/>
          <w:tab w:val="left" w:pos="867"/>
          <w:tab w:val="left" w:pos="1167"/>
          <w:tab w:val="left" w:pos="1422"/>
          <w:tab w:val="left" w:pos="1677"/>
          <w:tab w:val="left" w:pos="1992"/>
          <w:tab w:val="left" w:pos="2247"/>
          <w:tab w:val="left" w:pos="7363"/>
        </w:tabs>
        <w:spacing w:before="57" w:after="57"/>
        <w:ind w:left="27"/>
        <w:jc w:val="both"/>
        <w:rPr>
          <w:rFonts w:ascii="Arial" w:eastAsia="Arial" w:hAnsi="Arial" w:cs="Arial"/>
          <w:b/>
          <w:bCs/>
          <w:color w:val="000000"/>
          <w:sz w:val="22"/>
          <w:szCs w:val="22"/>
        </w:rPr>
      </w:pPr>
    </w:p>
    <w:p w:rsidR="009B714E" w:rsidRDefault="00DE5B09">
      <w:pPr>
        <w:widowControl w:val="0"/>
        <w:pBdr>
          <w:top w:val="nil"/>
          <w:left w:val="nil"/>
          <w:bottom w:val="nil"/>
          <w:right w:val="nil"/>
          <w:between w:val="nil"/>
        </w:pBdr>
        <w:tabs>
          <w:tab w:val="left" w:pos="582"/>
          <w:tab w:val="left" w:pos="867"/>
          <w:tab w:val="left" w:pos="1167"/>
          <w:tab w:val="left" w:pos="1422"/>
          <w:tab w:val="left" w:pos="1677"/>
          <w:tab w:val="left" w:pos="1992"/>
          <w:tab w:val="left" w:pos="2247"/>
          <w:tab w:val="left" w:pos="7363"/>
        </w:tabs>
        <w:spacing w:before="57" w:after="57"/>
        <w:ind w:left="27"/>
        <w:jc w:val="both"/>
        <w:rPr>
          <w:rFonts w:ascii="Arial" w:eastAsia="Arial" w:hAnsi="Arial" w:cs="Arial"/>
          <w:b/>
          <w:bCs/>
          <w:color w:val="000000"/>
          <w:sz w:val="22"/>
          <w:szCs w:val="22"/>
        </w:rPr>
      </w:pPr>
      <w:r>
        <w:rPr>
          <w:rFonts w:ascii="Arial" w:eastAsia="Arial" w:hAnsi="Arial" w:cs="Arial"/>
          <w:b/>
          <w:bCs/>
          <w:color w:val="000000"/>
          <w:sz w:val="22"/>
          <w:szCs w:val="22"/>
        </w:rPr>
        <w:t xml:space="preserve">7.2 </w:t>
      </w:r>
      <w:r w:rsidR="00B50269">
        <w:rPr>
          <w:rFonts w:ascii="Arial" w:eastAsia="Arial" w:hAnsi="Arial" w:cs="Arial"/>
          <w:b/>
          <w:bCs/>
          <w:color w:val="000000"/>
          <w:sz w:val="22"/>
          <w:szCs w:val="22"/>
        </w:rPr>
        <w:t>ANÁLISE COMPARATIVA DE SOLUÇÕES</w:t>
      </w:r>
    </w:p>
    <w:p w:rsidR="009B714E" w:rsidRDefault="009B714E">
      <w:pPr>
        <w:widowControl w:val="0"/>
        <w:pBdr>
          <w:top w:val="nil"/>
          <w:left w:val="nil"/>
          <w:bottom w:val="nil"/>
          <w:right w:val="nil"/>
          <w:between w:val="nil"/>
        </w:pBdr>
        <w:tabs>
          <w:tab w:val="left" w:pos="582"/>
          <w:tab w:val="left" w:pos="867"/>
          <w:tab w:val="left" w:pos="1167"/>
          <w:tab w:val="left" w:pos="1422"/>
          <w:tab w:val="left" w:pos="1677"/>
          <w:tab w:val="left" w:pos="1992"/>
          <w:tab w:val="left" w:pos="2247"/>
          <w:tab w:val="left" w:pos="7363"/>
        </w:tabs>
        <w:spacing w:before="57" w:after="57"/>
        <w:jc w:val="both"/>
        <w:rPr>
          <w:rFonts w:ascii="Arial" w:eastAsia="Arial" w:hAnsi="Arial" w:cs="Arial"/>
          <w:color w:val="FF3333"/>
          <w:sz w:val="22"/>
          <w:szCs w:val="22"/>
          <w:highlight w:val="white"/>
        </w:rPr>
      </w:pPr>
    </w:p>
    <w:tbl>
      <w:tblPr>
        <w:tblStyle w:val="ad"/>
        <w:tblW w:w="8800" w:type="dxa"/>
        <w:tblInd w:w="-13" w:type="dxa"/>
        <w:tblLayout w:type="fixed"/>
        <w:tblLook w:val="0400" w:firstRow="0" w:lastRow="0" w:firstColumn="0" w:lastColumn="0" w:noHBand="0" w:noVBand="1"/>
      </w:tblPr>
      <w:tblGrid>
        <w:gridCol w:w="5450"/>
        <w:gridCol w:w="1250"/>
        <w:gridCol w:w="713"/>
        <w:gridCol w:w="662"/>
        <w:gridCol w:w="725"/>
      </w:tblGrid>
      <w:tr w:rsidR="009B714E">
        <w:trPr>
          <w:trHeight w:val="567"/>
          <w:tblHeader/>
        </w:trPr>
        <w:tc>
          <w:tcPr>
            <w:tcW w:w="5450" w:type="dxa"/>
            <w:tcBorders>
              <w:top w:val="single" w:sz="4" w:space="0" w:color="000000"/>
              <w:left w:val="single" w:sz="4" w:space="0" w:color="000000"/>
              <w:bottom w:val="single" w:sz="4" w:space="0" w:color="000000"/>
            </w:tcBorders>
            <w:shd w:val="clear" w:color="auto" w:fill="EEEEEE"/>
            <w:tcMar>
              <w:top w:w="0" w:type="dxa"/>
              <w:left w:w="70" w:type="dxa"/>
              <w:bottom w:w="0" w:type="dxa"/>
              <w:right w:w="70" w:type="dxa"/>
            </w:tcMar>
            <w:vAlign w:val="center"/>
          </w:tcPr>
          <w:p w:rsidR="009B714E" w:rsidRDefault="00B50269">
            <w:pPr>
              <w:widowControl w:val="0"/>
              <w:pBdr>
                <w:top w:val="nil"/>
                <w:left w:val="nil"/>
                <w:bottom w:val="nil"/>
                <w:right w:val="nil"/>
                <w:between w:val="nil"/>
              </w:pBdr>
              <w:jc w:val="center"/>
              <w:rPr>
                <w:rFonts w:ascii="Arial" w:eastAsia="Arial" w:hAnsi="Arial" w:cs="Arial"/>
                <w:b/>
                <w:bCs/>
                <w:color w:val="000000"/>
                <w:sz w:val="22"/>
                <w:szCs w:val="22"/>
              </w:rPr>
            </w:pPr>
            <w:r>
              <w:rPr>
                <w:rFonts w:ascii="Arial" w:eastAsia="Arial" w:hAnsi="Arial" w:cs="Arial"/>
                <w:b/>
                <w:bCs/>
                <w:color w:val="000000"/>
                <w:sz w:val="22"/>
                <w:szCs w:val="22"/>
              </w:rPr>
              <w:lastRenderedPageBreak/>
              <w:t>Requisito</w:t>
            </w:r>
          </w:p>
        </w:tc>
        <w:tc>
          <w:tcPr>
            <w:tcW w:w="1250" w:type="dxa"/>
            <w:tcBorders>
              <w:top w:val="single" w:sz="4" w:space="0" w:color="000000"/>
              <w:left w:val="single" w:sz="4" w:space="0" w:color="000000"/>
              <w:bottom w:val="single" w:sz="4" w:space="0" w:color="000000"/>
            </w:tcBorders>
            <w:shd w:val="clear" w:color="auto" w:fill="EEEEEE"/>
            <w:tcMar>
              <w:top w:w="0" w:type="dxa"/>
              <w:left w:w="70" w:type="dxa"/>
              <w:bottom w:w="0" w:type="dxa"/>
              <w:right w:w="70" w:type="dxa"/>
            </w:tcMar>
            <w:vAlign w:val="center"/>
          </w:tcPr>
          <w:p w:rsidR="009B714E" w:rsidRDefault="00B50269">
            <w:pPr>
              <w:widowControl w:val="0"/>
              <w:pBdr>
                <w:top w:val="nil"/>
                <w:left w:val="nil"/>
                <w:bottom w:val="nil"/>
                <w:right w:val="nil"/>
                <w:between w:val="nil"/>
              </w:pBdr>
              <w:jc w:val="center"/>
              <w:rPr>
                <w:rFonts w:ascii="Arial" w:eastAsia="Arial" w:hAnsi="Arial" w:cs="Arial"/>
                <w:b/>
                <w:bCs/>
                <w:color w:val="000000"/>
                <w:sz w:val="22"/>
                <w:szCs w:val="22"/>
              </w:rPr>
            </w:pPr>
            <w:r>
              <w:rPr>
                <w:rFonts w:ascii="Arial" w:eastAsia="Arial" w:hAnsi="Arial" w:cs="Arial"/>
                <w:b/>
                <w:bCs/>
                <w:color w:val="000000"/>
                <w:sz w:val="22"/>
                <w:szCs w:val="22"/>
              </w:rPr>
              <w:t>Solução</w:t>
            </w:r>
          </w:p>
        </w:tc>
        <w:tc>
          <w:tcPr>
            <w:tcW w:w="713" w:type="dxa"/>
            <w:tcBorders>
              <w:top w:val="single" w:sz="4" w:space="0" w:color="000000"/>
              <w:left w:val="single" w:sz="4" w:space="0" w:color="000000"/>
              <w:bottom w:val="single" w:sz="4" w:space="0" w:color="000000"/>
            </w:tcBorders>
            <w:shd w:val="clear" w:color="auto" w:fill="EEEEEE"/>
            <w:tcMar>
              <w:top w:w="0" w:type="dxa"/>
              <w:left w:w="70" w:type="dxa"/>
              <w:bottom w:w="0" w:type="dxa"/>
              <w:right w:w="70" w:type="dxa"/>
            </w:tcMar>
            <w:vAlign w:val="center"/>
          </w:tcPr>
          <w:p w:rsidR="009B714E" w:rsidRDefault="00B50269">
            <w:pPr>
              <w:widowControl w:val="0"/>
              <w:pBdr>
                <w:top w:val="nil"/>
                <w:left w:val="nil"/>
                <w:bottom w:val="nil"/>
                <w:right w:val="nil"/>
                <w:between w:val="nil"/>
              </w:pBdr>
              <w:jc w:val="center"/>
              <w:rPr>
                <w:rFonts w:ascii="Arial" w:eastAsia="Arial" w:hAnsi="Arial" w:cs="Arial"/>
                <w:b/>
                <w:bCs/>
                <w:color w:val="000000"/>
                <w:sz w:val="22"/>
                <w:szCs w:val="22"/>
              </w:rPr>
            </w:pPr>
            <w:r>
              <w:rPr>
                <w:rFonts w:ascii="Arial" w:eastAsia="Arial" w:hAnsi="Arial" w:cs="Arial"/>
                <w:b/>
                <w:bCs/>
                <w:color w:val="000000"/>
                <w:sz w:val="22"/>
                <w:szCs w:val="22"/>
              </w:rPr>
              <w:t>Sim</w:t>
            </w:r>
          </w:p>
        </w:tc>
        <w:tc>
          <w:tcPr>
            <w:tcW w:w="662" w:type="dxa"/>
            <w:tcBorders>
              <w:top w:val="single" w:sz="4" w:space="0" w:color="000000"/>
              <w:left w:val="single" w:sz="4" w:space="0" w:color="000000"/>
              <w:bottom w:val="single" w:sz="4" w:space="0" w:color="000000"/>
            </w:tcBorders>
            <w:shd w:val="clear" w:color="auto" w:fill="EEEEEE"/>
            <w:tcMar>
              <w:top w:w="0" w:type="dxa"/>
              <w:left w:w="70" w:type="dxa"/>
              <w:bottom w:w="0" w:type="dxa"/>
              <w:right w:w="70" w:type="dxa"/>
            </w:tcMar>
            <w:vAlign w:val="center"/>
          </w:tcPr>
          <w:p w:rsidR="009B714E" w:rsidRDefault="00B50269">
            <w:pPr>
              <w:widowControl w:val="0"/>
              <w:pBdr>
                <w:top w:val="nil"/>
                <w:left w:val="nil"/>
                <w:bottom w:val="nil"/>
                <w:right w:val="nil"/>
                <w:between w:val="nil"/>
              </w:pBdr>
              <w:jc w:val="center"/>
              <w:rPr>
                <w:rFonts w:ascii="Arial" w:eastAsia="Arial" w:hAnsi="Arial" w:cs="Arial"/>
                <w:b/>
                <w:bCs/>
                <w:color w:val="000000"/>
                <w:sz w:val="22"/>
                <w:szCs w:val="22"/>
              </w:rPr>
            </w:pPr>
            <w:r>
              <w:rPr>
                <w:rFonts w:ascii="Arial" w:eastAsia="Arial" w:hAnsi="Arial" w:cs="Arial"/>
                <w:b/>
                <w:bCs/>
                <w:color w:val="000000"/>
                <w:sz w:val="22"/>
                <w:szCs w:val="22"/>
              </w:rPr>
              <w:t>Não</w:t>
            </w:r>
          </w:p>
        </w:tc>
        <w:tc>
          <w:tcPr>
            <w:tcW w:w="725" w:type="dxa"/>
            <w:tcBorders>
              <w:top w:val="single" w:sz="4" w:space="0" w:color="000000"/>
              <w:left w:val="single" w:sz="4" w:space="0" w:color="000000"/>
              <w:bottom w:val="single" w:sz="4" w:space="0" w:color="000000"/>
              <w:right w:val="single" w:sz="4" w:space="0" w:color="000000"/>
            </w:tcBorders>
            <w:shd w:val="clear" w:color="auto" w:fill="EEEEEE"/>
            <w:tcMar>
              <w:top w:w="0" w:type="dxa"/>
              <w:left w:w="70" w:type="dxa"/>
              <w:bottom w:w="0" w:type="dxa"/>
              <w:right w:w="70" w:type="dxa"/>
            </w:tcMar>
            <w:vAlign w:val="center"/>
          </w:tcPr>
          <w:p w:rsidR="009B714E" w:rsidRDefault="00B50269">
            <w:pPr>
              <w:widowControl w:val="0"/>
              <w:pBdr>
                <w:top w:val="nil"/>
                <w:left w:val="nil"/>
                <w:bottom w:val="nil"/>
                <w:right w:val="nil"/>
                <w:between w:val="nil"/>
              </w:pBdr>
              <w:jc w:val="center"/>
              <w:rPr>
                <w:rFonts w:ascii="Arial" w:eastAsia="Arial" w:hAnsi="Arial" w:cs="Arial"/>
                <w:b/>
                <w:bCs/>
                <w:color w:val="000000"/>
                <w:sz w:val="22"/>
                <w:szCs w:val="22"/>
              </w:rPr>
            </w:pPr>
            <w:r>
              <w:rPr>
                <w:rFonts w:ascii="Arial" w:eastAsia="Arial" w:hAnsi="Arial" w:cs="Arial"/>
                <w:b/>
                <w:bCs/>
                <w:color w:val="000000"/>
                <w:sz w:val="22"/>
                <w:szCs w:val="22"/>
              </w:rPr>
              <w:t>Não se aplica</w:t>
            </w:r>
          </w:p>
        </w:tc>
      </w:tr>
      <w:tr w:rsidR="009B714E">
        <w:tc>
          <w:tcPr>
            <w:tcW w:w="5450" w:type="dxa"/>
            <w:vMerge w:val="restart"/>
            <w:tcBorders>
              <w:left w:val="single" w:sz="4" w:space="0" w:color="000000"/>
              <w:bottom w:val="single" w:sz="4" w:space="0" w:color="000000"/>
            </w:tcBorders>
            <w:shd w:val="clear" w:color="auto" w:fill="EEEEEE"/>
            <w:tcMar>
              <w:top w:w="0" w:type="dxa"/>
              <w:left w:w="70" w:type="dxa"/>
              <w:bottom w:w="0" w:type="dxa"/>
              <w:right w:w="70" w:type="dxa"/>
            </w:tcMar>
            <w:vAlign w:val="center"/>
          </w:tcPr>
          <w:p w:rsidR="009B714E" w:rsidRDefault="00B50269">
            <w:pPr>
              <w:widowControl w:val="0"/>
              <w:pBdr>
                <w:top w:val="nil"/>
                <w:left w:val="nil"/>
                <w:bottom w:val="nil"/>
                <w:right w:val="nil"/>
                <w:between w:val="nil"/>
              </w:pBdr>
              <w:tabs>
                <w:tab w:val="left" w:pos="79"/>
                <w:tab w:val="left" w:pos="482"/>
              </w:tabs>
              <w:jc w:val="both"/>
              <w:rPr>
                <w:rFonts w:ascii="Arial" w:eastAsia="Arial" w:hAnsi="Arial" w:cs="Arial"/>
                <w:color w:val="000000"/>
                <w:sz w:val="22"/>
                <w:szCs w:val="22"/>
              </w:rPr>
            </w:pPr>
            <w:r>
              <w:rPr>
                <w:rFonts w:ascii="Arial" w:eastAsia="Arial" w:hAnsi="Arial" w:cs="Arial"/>
                <w:color w:val="000000"/>
                <w:sz w:val="22"/>
                <w:szCs w:val="22"/>
              </w:rPr>
              <w:t>A solução encontra-se implantada em outro órgão ou entidade da Administração?</w:t>
            </w:r>
          </w:p>
        </w:tc>
        <w:tc>
          <w:tcPr>
            <w:tcW w:w="1250" w:type="dxa"/>
            <w:tcBorders>
              <w:left w:val="single" w:sz="4" w:space="0" w:color="000000"/>
              <w:bottom w:val="single" w:sz="4" w:space="0" w:color="000000"/>
            </w:tcBorders>
            <w:shd w:val="clear" w:color="auto" w:fill="auto"/>
            <w:tcMar>
              <w:top w:w="0" w:type="dxa"/>
              <w:left w:w="70" w:type="dxa"/>
              <w:bottom w:w="0" w:type="dxa"/>
              <w:right w:w="70" w:type="dxa"/>
            </w:tcMar>
            <w:vAlign w:val="center"/>
          </w:tcPr>
          <w:p w:rsidR="009B714E" w:rsidRDefault="00B50269">
            <w:pPr>
              <w:widowControl w:val="0"/>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Solução 1</w:t>
            </w:r>
          </w:p>
        </w:tc>
        <w:tc>
          <w:tcPr>
            <w:tcW w:w="713" w:type="dxa"/>
            <w:tcBorders>
              <w:left w:val="single" w:sz="4" w:space="0" w:color="000000"/>
              <w:bottom w:val="single" w:sz="4" w:space="0" w:color="000000"/>
            </w:tcBorders>
            <w:shd w:val="clear" w:color="auto" w:fill="FFFFFF"/>
            <w:tcMar>
              <w:top w:w="0" w:type="dxa"/>
              <w:left w:w="70" w:type="dxa"/>
              <w:bottom w:w="0" w:type="dxa"/>
              <w:right w:w="70" w:type="dxa"/>
            </w:tcMar>
            <w:vAlign w:val="center"/>
          </w:tcPr>
          <w:p w:rsidR="009B714E" w:rsidRDefault="009B714E">
            <w:pPr>
              <w:widowControl w:val="0"/>
              <w:pBdr>
                <w:top w:val="nil"/>
                <w:left w:val="nil"/>
                <w:bottom w:val="nil"/>
                <w:right w:val="nil"/>
                <w:between w:val="nil"/>
              </w:pBdr>
              <w:jc w:val="center"/>
              <w:rPr>
                <w:rFonts w:ascii="Arial" w:eastAsia="Arial" w:hAnsi="Arial" w:cs="Arial"/>
                <w:color w:val="FF3333"/>
                <w:sz w:val="22"/>
                <w:szCs w:val="22"/>
              </w:rPr>
            </w:pPr>
          </w:p>
        </w:tc>
        <w:tc>
          <w:tcPr>
            <w:tcW w:w="662" w:type="dxa"/>
            <w:tcBorders>
              <w:left w:val="single" w:sz="4" w:space="0" w:color="000000"/>
              <w:bottom w:val="single" w:sz="4" w:space="0" w:color="000000"/>
            </w:tcBorders>
            <w:shd w:val="clear" w:color="auto" w:fill="FFFFFF"/>
            <w:tcMar>
              <w:top w:w="0" w:type="dxa"/>
              <w:left w:w="70" w:type="dxa"/>
              <w:bottom w:w="0" w:type="dxa"/>
              <w:right w:w="70" w:type="dxa"/>
            </w:tcMar>
            <w:vAlign w:val="center"/>
          </w:tcPr>
          <w:p w:rsidR="009B714E" w:rsidRDefault="00B50269">
            <w:pPr>
              <w:widowControl w:val="0"/>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X</w:t>
            </w:r>
          </w:p>
        </w:tc>
        <w:tc>
          <w:tcPr>
            <w:tcW w:w="725" w:type="dxa"/>
            <w:tcBorders>
              <w:left w:val="single" w:sz="4" w:space="0" w:color="000000"/>
              <w:bottom w:val="single" w:sz="4" w:space="0" w:color="000000"/>
              <w:right w:val="single" w:sz="4" w:space="0" w:color="000000"/>
            </w:tcBorders>
            <w:shd w:val="clear" w:color="auto" w:fill="FFFFFF"/>
            <w:tcMar>
              <w:top w:w="0" w:type="dxa"/>
              <w:left w:w="70" w:type="dxa"/>
              <w:bottom w:w="0" w:type="dxa"/>
              <w:right w:w="70" w:type="dxa"/>
            </w:tcMar>
            <w:vAlign w:val="center"/>
          </w:tcPr>
          <w:p w:rsidR="009B714E" w:rsidRDefault="009B714E">
            <w:pPr>
              <w:widowControl w:val="0"/>
              <w:pBdr>
                <w:top w:val="nil"/>
                <w:left w:val="nil"/>
                <w:bottom w:val="nil"/>
                <w:right w:val="nil"/>
                <w:between w:val="nil"/>
              </w:pBdr>
              <w:jc w:val="center"/>
              <w:rPr>
                <w:rFonts w:ascii="Arial" w:eastAsia="Arial" w:hAnsi="Arial" w:cs="Arial"/>
                <w:color w:val="000000"/>
                <w:sz w:val="22"/>
                <w:szCs w:val="22"/>
              </w:rPr>
            </w:pPr>
          </w:p>
        </w:tc>
      </w:tr>
      <w:tr w:rsidR="009B714E">
        <w:tc>
          <w:tcPr>
            <w:tcW w:w="5450" w:type="dxa"/>
            <w:vMerge/>
            <w:tcBorders>
              <w:left w:val="single" w:sz="4" w:space="0" w:color="000000"/>
              <w:bottom w:val="single" w:sz="4" w:space="0" w:color="000000"/>
            </w:tcBorders>
            <w:shd w:val="clear" w:color="auto" w:fill="EEEEEE"/>
            <w:tcMar>
              <w:top w:w="0" w:type="dxa"/>
              <w:left w:w="70" w:type="dxa"/>
              <w:bottom w:w="0" w:type="dxa"/>
              <w:right w:w="70" w:type="dxa"/>
            </w:tcMar>
            <w:vAlign w:val="center"/>
          </w:tcPr>
          <w:p w:rsidR="009B714E" w:rsidRDefault="009B714E">
            <w:pPr>
              <w:widowControl w:val="0"/>
              <w:pBdr>
                <w:top w:val="nil"/>
                <w:left w:val="nil"/>
                <w:bottom w:val="nil"/>
                <w:right w:val="nil"/>
                <w:between w:val="nil"/>
              </w:pBdr>
              <w:spacing w:line="276" w:lineRule="auto"/>
              <w:rPr>
                <w:rFonts w:ascii="Arial" w:eastAsia="Arial" w:hAnsi="Arial" w:cs="Arial"/>
                <w:color w:val="000000"/>
                <w:sz w:val="22"/>
                <w:szCs w:val="22"/>
              </w:rPr>
            </w:pPr>
          </w:p>
        </w:tc>
        <w:tc>
          <w:tcPr>
            <w:tcW w:w="1250" w:type="dxa"/>
            <w:tcBorders>
              <w:left w:val="single" w:sz="4" w:space="0" w:color="000000"/>
              <w:bottom w:val="single" w:sz="4" w:space="0" w:color="000000"/>
            </w:tcBorders>
            <w:shd w:val="clear" w:color="auto" w:fill="auto"/>
            <w:tcMar>
              <w:top w:w="0" w:type="dxa"/>
              <w:left w:w="70" w:type="dxa"/>
              <w:bottom w:w="0" w:type="dxa"/>
              <w:right w:w="70" w:type="dxa"/>
            </w:tcMar>
            <w:vAlign w:val="center"/>
          </w:tcPr>
          <w:p w:rsidR="009B714E" w:rsidRDefault="00B50269">
            <w:pPr>
              <w:widowControl w:val="0"/>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Solução 2</w:t>
            </w:r>
          </w:p>
        </w:tc>
        <w:tc>
          <w:tcPr>
            <w:tcW w:w="713" w:type="dxa"/>
            <w:tcBorders>
              <w:left w:val="single" w:sz="4" w:space="0" w:color="000000"/>
              <w:bottom w:val="single" w:sz="4" w:space="0" w:color="000000"/>
            </w:tcBorders>
            <w:shd w:val="clear" w:color="auto" w:fill="FFFFFF"/>
            <w:tcMar>
              <w:top w:w="0" w:type="dxa"/>
              <w:left w:w="70" w:type="dxa"/>
              <w:bottom w:w="0" w:type="dxa"/>
              <w:right w:w="70" w:type="dxa"/>
            </w:tcMar>
            <w:vAlign w:val="center"/>
          </w:tcPr>
          <w:p w:rsidR="009B714E" w:rsidRDefault="00B50269">
            <w:pPr>
              <w:widowControl w:val="0"/>
              <w:pBdr>
                <w:top w:val="nil"/>
                <w:left w:val="nil"/>
                <w:bottom w:val="nil"/>
                <w:right w:val="nil"/>
                <w:between w:val="nil"/>
              </w:pBdr>
              <w:jc w:val="center"/>
              <w:rPr>
                <w:rFonts w:ascii="Arial" w:eastAsia="Arial" w:hAnsi="Arial" w:cs="Arial"/>
                <w:color w:val="FF3333"/>
                <w:sz w:val="22"/>
                <w:szCs w:val="22"/>
              </w:rPr>
            </w:pPr>
            <w:r>
              <w:rPr>
                <w:rFonts w:ascii="Arial" w:eastAsia="Arial" w:hAnsi="Arial" w:cs="Arial"/>
                <w:color w:val="000000"/>
                <w:sz w:val="22"/>
                <w:szCs w:val="22"/>
              </w:rPr>
              <w:t>X</w:t>
            </w:r>
          </w:p>
        </w:tc>
        <w:tc>
          <w:tcPr>
            <w:tcW w:w="662" w:type="dxa"/>
            <w:tcBorders>
              <w:left w:val="single" w:sz="4" w:space="0" w:color="000000"/>
              <w:bottom w:val="single" w:sz="4" w:space="0" w:color="000000"/>
            </w:tcBorders>
            <w:shd w:val="clear" w:color="auto" w:fill="FFFFFF"/>
            <w:tcMar>
              <w:top w:w="0" w:type="dxa"/>
              <w:left w:w="70" w:type="dxa"/>
              <w:bottom w:w="0" w:type="dxa"/>
              <w:right w:w="70" w:type="dxa"/>
            </w:tcMar>
            <w:vAlign w:val="center"/>
          </w:tcPr>
          <w:p w:rsidR="009B714E" w:rsidRDefault="009B714E">
            <w:pPr>
              <w:widowControl w:val="0"/>
              <w:pBdr>
                <w:top w:val="nil"/>
                <w:left w:val="nil"/>
                <w:bottom w:val="nil"/>
                <w:right w:val="nil"/>
                <w:between w:val="nil"/>
              </w:pBdr>
              <w:jc w:val="center"/>
              <w:rPr>
                <w:rFonts w:ascii="Arial" w:eastAsia="Arial" w:hAnsi="Arial" w:cs="Arial"/>
                <w:color w:val="000000"/>
                <w:sz w:val="22"/>
                <w:szCs w:val="22"/>
              </w:rPr>
            </w:pPr>
          </w:p>
        </w:tc>
        <w:tc>
          <w:tcPr>
            <w:tcW w:w="725" w:type="dxa"/>
            <w:tcBorders>
              <w:left w:val="single" w:sz="4" w:space="0" w:color="000000"/>
              <w:bottom w:val="single" w:sz="4" w:space="0" w:color="000000"/>
              <w:right w:val="single" w:sz="4" w:space="0" w:color="000000"/>
            </w:tcBorders>
            <w:shd w:val="clear" w:color="auto" w:fill="FFFFFF"/>
            <w:tcMar>
              <w:top w:w="0" w:type="dxa"/>
              <w:left w:w="70" w:type="dxa"/>
              <w:bottom w:w="0" w:type="dxa"/>
              <w:right w:w="70" w:type="dxa"/>
            </w:tcMar>
            <w:vAlign w:val="center"/>
          </w:tcPr>
          <w:p w:rsidR="009B714E" w:rsidRDefault="009B714E">
            <w:pPr>
              <w:widowControl w:val="0"/>
              <w:pBdr>
                <w:top w:val="nil"/>
                <w:left w:val="nil"/>
                <w:bottom w:val="nil"/>
                <w:right w:val="nil"/>
                <w:between w:val="nil"/>
              </w:pBdr>
              <w:jc w:val="center"/>
              <w:rPr>
                <w:rFonts w:ascii="Arial" w:eastAsia="Arial" w:hAnsi="Arial" w:cs="Arial"/>
                <w:color w:val="000000"/>
                <w:sz w:val="22"/>
                <w:szCs w:val="22"/>
              </w:rPr>
            </w:pPr>
          </w:p>
        </w:tc>
      </w:tr>
      <w:tr w:rsidR="009B714E">
        <w:tc>
          <w:tcPr>
            <w:tcW w:w="5450" w:type="dxa"/>
            <w:vMerge/>
            <w:tcBorders>
              <w:left w:val="single" w:sz="4" w:space="0" w:color="000000"/>
              <w:bottom w:val="single" w:sz="4" w:space="0" w:color="000000"/>
            </w:tcBorders>
            <w:shd w:val="clear" w:color="auto" w:fill="EEEEEE"/>
            <w:tcMar>
              <w:top w:w="0" w:type="dxa"/>
              <w:left w:w="70" w:type="dxa"/>
              <w:bottom w:w="0" w:type="dxa"/>
              <w:right w:w="70" w:type="dxa"/>
            </w:tcMar>
            <w:vAlign w:val="center"/>
          </w:tcPr>
          <w:p w:rsidR="009B714E" w:rsidRDefault="009B714E">
            <w:pPr>
              <w:widowControl w:val="0"/>
              <w:pBdr>
                <w:top w:val="nil"/>
                <w:left w:val="nil"/>
                <w:bottom w:val="nil"/>
                <w:right w:val="nil"/>
                <w:between w:val="nil"/>
              </w:pBdr>
              <w:spacing w:line="276" w:lineRule="auto"/>
              <w:rPr>
                <w:rFonts w:ascii="Arial" w:eastAsia="Arial" w:hAnsi="Arial" w:cs="Arial"/>
                <w:color w:val="000000"/>
                <w:sz w:val="22"/>
                <w:szCs w:val="22"/>
              </w:rPr>
            </w:pPr>
          </w:p>
        </w:tc>
        <w:tc>
          <w:tcPr>
            <w:tcW w:w="1250" w:type="dxa"/>
            <w:tcBorders>
              <w:left w:val="single" w:sz="4" w:space="0" w:color="000000"/>
              <w:bottom w:val="single" w:sz="4" w:space="0" w:color="000000"/>
            </w:tcBorders>
            <w:shd w:val="clear" w:color="auto" w:fill="auto"/>
            <w:tcMar>
              <w:top w:w="0" w:type="dxa"/>
              <w:left w:w="70" w:type="dxa"/>
              <w:bottom w:w="0" w:type="dxa"/>
              <w:right w:w="70" w:type="dxa"/>
            </w:tcMar>
            <w:vAlign w:val="center"/>
          </w:tcPr>
          <w:p w:rsidR="009B714E" w:rsidRDefault="00B50269">
            <w:pPr>
              <w:widowControl w:val="0"/>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Solução N</w:t>
            </w:r>
          </w:p>
        </w:tc>
        <w:tc>
          <w:tcPr>
            <w:tcW w:w="713" w:type="dxa"/>
            <w:tcBorders>
              <w:left w:val="single" w:sz="4" w:space="0" w:color="000000"/>
              <w:bottom w:val="single" w:sz="4" w:space="0" w:color="000000"/>
            </w:tcBorders>
            <w:shd w:val="clear" w:color="auto" w:fill="FFFFFF"/>
            <w:tcMar>
              <w:top w:w="0" w:type="dxa"/>
              <w:left w:w="70" w:type="dxa"/>
              <w:bottom w:w="0" w:type="dxa"/>
              <w:right w:w="70" w:type="dxa"/>
            </w:tcMar>
            <w:vAlign w:val="center"/>
          </w:tcPr>
          <w:p w:rsidR="009B714E" w:rsidRDefault="009B714E">
            <w:pPr>
              <w:widowControl w:val="0"/>
              <w:pBdr>
                <w:top w:val="nil"/>
                <w:left w:val="nil"/>
                <w:bottom w:val="nil"/>
                <w:right w:val="nil"/>
                <w:between w:val="nil"/>
              </w:pBdr>
              <w:jc w:val="center"/>
              <w:rPr>
                <w:rFonts w:ascii="Arial" w:eastAsia="Arial" w:hAnsi="Arial" w:cs="Arial"/>
                <w:color w:val="FF3333"/>
                <w:sz w:val="22"/>
                <w:szCs w:val="22"/>
              </w:rPr>
            </w:pPr>
          </w:p>
        </w:tc>
        <w:tc>
          <w:tcPr>
            <w:tcW w:w="662" w:type="dxa"/>
            <w:tcBorders>
              <w:left w:val="single" w:sz="4" w:space="0" w:color="000000"/>
              <w:bottom w:val="single" w:sz="4" w:space="0" w:color="000000"/>
            </w:tcBorders>
            <w:shd w:val="clear" w:color="auto" w:fill="FFFFFF"/>
            <w:tcMar>
              <w:top w:w="0" w:type="dxa"/>
              <w:left w:w="70" w:type="dxa"/>
              <w:bottom w:w="0" w:type="dxa"/>
              <w:right w:w="70" w:type="dxa"/>
            </w:tcMar>
            <w:vAlign w:val="center"/>
          </w:tcPr>
          <w:p w:rsidR="009B714E" w:rsidRDefault="009B714E">
            <w:pPr>
              <w:widowControl w:val="0"/>
              <w:pBdr>
                <w:top w:val="nil"/>
                <w:left w:val="nil"/>
                <w:bottom w:val="nil"/>
                <w:right w:val="nil"/>
                <w:between w:val="nil"/>
              </w:pBdr>
              <w:jc w:val="center"/>
              <w:rPr>
                <w:rFonts w:ascii="Arial" w:eastAsia="Arial" w:hAnsi="Arial" w:cs="Arial"/>
                <w:color w:val="FF3333"/>
                <w:sz w:val="22"/>
                <w:szCs w:val="22"/>
              </w:rPr>
            </w:pPr>
          </w:p>
        </w:tc>
        <w:tc>
          <w:tcPr>
            <w:tcW w:w="725" w:type="dxa"/>
            <w:tcBorders>
              <w:left w:val="single" w:sz="4" w:space="0" w:color="000000"/>
              <w:bottom w:val="single" w:sz="4" w:space="0" w:color="000000"/>
              <w:right w:val="single" w:sz="4" w:space="0" w:color="000000"/>
            </w:tcBorders>
            <w:shd w:val="clear" w:color="auto" w:fill="FFFFFF"/>
            <w:tcMar>
              <w:top w:w="0" w:type="dxa"/>
              <w:left w:w="70" w:type="dxa"/>
              <w:bottom w:w="0" w:type="dxa"/>
              <w:right w:w="70" w:type="dxa"/>
            </w:tcMar>
            <w:vAlign w:val="center"/>
          </w:tcPr>
          <w:p w:rsidR="009B714E" w:rsidRDefault="009B714E">
            <w:pPr>
              <w:widowControl w:val="0"/>
              <w:pBdr>
                <w:top w:val="nil"/>
                <w:left w:val="nil"/>
                <w:bottom w:val="nil"/>
                <w:right w:val="nil"/>
                <w:between w:val="nil"/>
              </w:pBdr>
              <w:jc w:val="center"/>
              <w:rPr>
                <w:rFonts w:ascii="Arial" w:eastAsia="Arial" w:hAnsi="Arial" w:cs="Arial"/>
                <w:color w:val="000000"/>
                <w:sz w:val="22"/>
                <w:szCs w:val="22"/>
              </w:rPr>
            </w:pPr>
          </w:p>
        </w:tc>
      </w:tr>
    </w:tbl>
    <w:p w:rsidR="009B714E" w:rsidRDefault="009B714E">
      <w:pPr>
        <w:widowControl w:val="0"/>
        <w:pBdr>
          <w:top w:val="nil"/>
          <w:left w:val="nil"/>
          <w:bottom w:val="nil"/>
          <w:right w:val="nil"/>
          <w:between w:val="nil"/>
        </w:pBdr>
        <w:tabs>
          <w:tab w:val="left" w:pos="582"/>
          <w:tab w:val="left" w:pos="867"/>
          <w:tab w:val="left" w:pos="1167"/>
          <w:tab w:val="left" w:pos="1422"/>
          <w:tab w:val="left" w:pos="1677"/>
          <w:tab w:val="left" w:pos="1992"/>
          <w:tab w:val="left" w:pos="2247"/>
          <w:tab w:val="left" w:pos="7363"/>
        </w:tabs>
        <w:spacing w:before="57" w:after="57"/>
        <w:jc w:val="both"/>
        <w:rPr>
          <w:rFonts w:ascii="Arial" w:eastAsia="Arial" w:hAnsi="Arial" w:cs="Arial"/>
          <w:b/>
          <w:bCs/>
          <w:color w:val="000000"/>
          <w:sz w:val="22"/>
          <w:szCs w:val="22"/>
          <w:highlight w:val="white"/>
        </w:rPr>
      </w:pPr>
    </w:p>
    <w:p w:rsidR="009B714E" w:rsidRDefault="00B50269">
      <w:pPr>
        <w:widowControl w:val="0"/>
        <w:pBdr>
          <w:top w:val="nil"/>
          <w:left w:val="nil"/>
          <w:bottom w:val="nil"/>
          <w:right w:val="nil"/>
          <w:between w:val="nil"/>
        </w:pBdr>
        <w:tabs>
          <w:tab w:val="left" w:pos="582"/>
          <w:tab w:val="left" w:pos="867"/>
          <w:tab w:val="left" w:pos="1167"/>
          <w:tab w:val="left" w:pos="1422"/>
          <w:tab w:val="left" w:pos="1677"/>
          <w:tab w:val="left" w:pos="1992"/>
          <w:tab w:val="left" w:pos="2247"/>
          <w:tab w:val="left" w:pos="7363"/>
        </w:tabs>
        <w:spacing w:before="57" w:after="57"/>
        <w:jc w:val="both"/>
        <w:rPr>
          <w:rFonts w:ascii="Arial" w:eastAsia="Arial" w:hAnsi="Arial" w:cs="Arial"/>
          <w:b/>
          <w:bCs/>
          <w:color w:val="000000"/>
          <w:sz w:val="22"/>
          <w:szCs w:val="22"/>
          <w:highlight w:val="white"/>
        </w:rPr>
      </w:pPr>
      <w:r>
        <w:rPr>
          <w:rFonts w:ascii="Arial" w:eastAsia="Arial" w:hAnsi="Arial" w:cs="Arial"/>
          <w:b/>
          <w:bCs/>
          <w:color w:val="000000"/>
          <w:sz w:val="22"/>
          <w:szCs w:val="22"/>
          <w:highlight w:val="white"/>
        </w:rPr>
        <w:t>7.3.  REGISTRO DE SOLUÇÕES CONSIDERADAS INVIÁVEIS</w:t>
      </w:r>
    </w:p>
    <w:p w:rsidR="009B714E" w:rsidRDefault="00B50269">
      <w:pPr>
        <w:spacing w:before="240" w:after="240" w:line="360" w:lineRule="auto"/>
        <w:rPr>
          <w:rFonts w:ascii="Arial" w:eastAsia="Arial" w:hAnsi="Arial" w:cs="Arial"/>
          <w:b/>
          <w:bCs/>
          <w:sz w:val="22"/>
          <w:szCs w:val="22"/>
        </w:rPr>
      </w:pPr>
      <w:r>
        <w:rPr>
          <w:rFonts w:ascii="Arial" w:eastAsia="Arial" w:hAnsi="Arial" w:cs="Arial"/>
          <w:b/>
          <w:bCs/>
          <w:sz w:val="22"/>
          <w:szCs w:val="22"/>
        </w:rPr>
        <w:t>Solução 01 – Aquisição de Tendas e Banheiros Tipo Contêiner:</w:t>
      </w:r>
    </w:p>
    <w:p w:rsidR="009B714E" w:rsidRDefault="00B50269" w:rsidP="00025728">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A alternativa de aquisição direta dessas estruturas foi considerada inviável pelos seguintes motivos:</w:t>
      </w:r>
    </w:p>
    <w:p w:rsidR="009B714E" w:rsidRDefault="00B50269" w:rsidP="00025728">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Investimento elevado: a compra de estruturas de tendas e banheiros tipo contêiner demandaria alto desembolso inicial, comprometendo significativamente o orçamento municipal;</w:t>
      </w:r>
    </w:p>
    <w:p w:rsidR="009B714E" w:rsidRDefault="00B50269" w:rsidP="00025728">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Custos de manutenção contínua: as estruturas exigem manutenção preventiva e corretiva, revisões periódicas, substituição de peças, reparos estruturais, pintura, conservação de coberturas e adequações às normas técnicas vigentes;</w:t>
      </w:r>
    </w:p>
    <w:p w:rsidR="009B714E" w:rsidRDefault="00B50269" w:rsidP="00025728">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Armazenamento e logística: seria necessária a disponibilização de espaço físico adequado para guarda das estruturas quando não estivessem em uso, além de equipamentos e veículos apropriados para transporte, montagem e desmontagem, gerando custos operacionais adicionais;</w:t>
      </w:r>
    </w:p>
    <w:p w:rsidR="009B714E" w:rsidRDefault="00B50269" w:rsidP="00025728">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 xml:space="preserve">Desgaste físico e depreciação: por se tratarem de estruturas sujeitas à ação do tempo e </w:t>
      </w:r>
      <w:r w:rsidR="00025728">
        <w:rPr>
          <w:rFonts w:ascii="Arial" w:eastAsia="Arial" w:hAnsi="Arial" w:cs="Arial"/>
          <w:sz w:val="22"/>
          <w:szCs w:val="22"/>
        </w:rPr>
        <w:t>a</w:t>
      </w:r>
      <w:r>
        <w:rPr>
          <w:rFonts w:ascii="Arial" w:eastAsia="Arial" w:hAnsi="Arial" w:cs="Arial"/>
          <w:sz w:val="22"/>
          <w:szCs w:val="22"/>
        </w:rPr>
        <w:t xml:space="preserve"> montagem e desmontagem frequentes, há desgaste natural dos materiais, reduzindo sua vida útil e exigindo reposições periódicas;</w:t>
      </w:r>
    </w:p>
    <w:p w:rsidR="009B714E" w:rsidRDefault="00B50269" w:rsidP="00025728">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Baixa utilização anual: considerando que os eventos municipais ocorrem de forma sazonal e em períodos específicos do calendário oficial, a aquisição resultaria em longos períodos de ociosidade dos equipamentos, não se mostrando economicamente vantajosa;</w:t>
      </w:r>
    </w:p>
    <w:p w:rsidR="009B714E" w:rsidRDefault="00B50269" w:rsidP="00025728">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Gestão operacional especializada: a Administração necessitaria manter equipe técnica capacitada para montagem, desmontagem, transporte, armazenamento e inspeção das estruturas, ampliando a demanda administrativa e operacional do Município.</w:t>
      </w:r>
    </w:p>
    <w:p w:rsidR="009B714E" w:rsidRDefault="00B50269" w:rsidP="00025728">
      <w:pPr>
        <w:spacing w:before="240" w:after="240" w:line="360" w:lineRule="auto"/>
        <w:jc w:val="both"/>
        <w:rPr>
          <w:rFonts w:ascii="Arial" w:eastAsia="Arial" w:hAnsi="Arial" w:cs="Arial"/>
          <w:b/>
          <w:bCs/>
          <w:sz w:val="22"/>
          <w:szCs w:val="22"/>
        </w:rPr>
      </w:pPr>
      <w:r>
        <w:rPr>
          <w:rFonts w:ascii="Arial" w:eastAsia="Arial" w:hAnsi="Arial" w:cs="Arial"/>
          <w:b/>
          <w:bCs/>
          <w:sz w:val="22"/>
          <w:szCs w:val="22"/>
        </w:rPr>
        <w:lastRenderedPageBreak/>
        <w:t>Solução 02 – Locação de Tendas e Banheiros Tipo Contêiner:</w:t>
      </w:r>
    </w:p>
    <w:p w:rsidR="009B714E" w:rsidRDefault="00B50269" w:rsidP="00025728">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A alternativa de locação foi considerada viável e mais adequada às necessidades do Município pelos seguintes motivos:</w:t>
      </w:r>
    </w:p>
    <w:p w:rsidR="009B714E" w:rsidRDefault="00B50269" w:rsidP="00025728">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Custo compatível com o uso eventual: a locação possibilita a contratação das estruturas apenas nos períodos de realização dos eventos, evitando imobilização de capital em bens de uso esporádico;</w:t>
      </w:r>
    </w:p>
    <w:p w:rsidR="009B714E" w:rsidRDefault="00B50269" w:rsidP="00025728">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Flexibilidade contratual: permite o dimensionamento das estruturas conforme o porte e a natureza de cada evento, ajustando quantitativos de tendas e banheiros (inclusive unidades adaptadas para PCD) de acordo com a estimativa de público e o espaço disponível;</w:t>
      </w:r>
    </w:p>
    <w:p w:rsidR="009B714E" w:rsidRDefault="00B50269" w:rsidP="00025728">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Eliminação de custos de armazenamento e depreciação: ao optar pela locação, o Município não assume despesas com guarda, transporte permanente, conservação de longo prazo e substituição de estruturas danificadas pelo tempo;</w:t>
      </w:r>
    </w:p>
    <w:p w:rsidR="009B714E" w:rsidRDefault="00B50269" w:rsidP="00025728">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Adequação às normas técnicas: a locação garante a disponibilização de estruturas que atendam às exigências de segurança, acessibilidade e demais regulamentações aplicáveis, inclusive quanto às unidades adaptadas para Pessoas com Deficiência (PCD);</w:t>
      </w:r>
    </w:p>
    <w:p w:rsidR="009B714E" w:rsidRDefault="00B50269" w:rsidP="00025728">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Eficiência operacional: a empresa contratada será responsável pelo transporte, montagem e desmontagem das estruturas, reduzindo a sobrecarga administrativa e operacional da Prefeitura;</w:t>
      </w:r>
    </w:p>
    <w:p w:rsidR="009B714E" w:rsidRDefault="00B50269" w:rsidP="00025728">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Agilidade na mobilização: a contratação por registro de preços permite pronta disponibilização das estruturas conforme a programação dos eventos oficiais.</w:t>
      </w:r>
    </w:p>
    <w:p w:rsidR="009B714E" w:rsidRDefault="00B50269" w:rsidP="00025728">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 xml:space="preserve">Após análise das alternativas, verifica-se que a locação </w:t>
      </w:r>
      <w:proofErr w:type="gramStart"/>
      <w:r>
        <w:rPr>
          <w:rFonts w:ascii="Arial" w:eastAsia="Arial" w:hAnsi="Arial" w:cs="Arial"/>
          <w:sz w:val="22"/>
          <w:szCs w:val="22"/>
        </w:rPr>
        <w:t>apresenta-se</w:t>
      </w:r>
      <w:proofErr w:type="gramEnd"/>
      <w:r>
        <w:rPr>
          <w:rFonts w:ascii="Arial" w:eastAsia="Arial" w:hAnsi="Arial" w:cs="Arial"/>
          <w:sz w:val="22"/>
          <w:szCs w:val="22"/>
        </w:rPr>
        <w:t xml:space="preserve"> como a solução mais eficiente sob os aspectos econômico, técnico e operacional. A aquisição implicaria elevados custos iniciais, necessidade de estrutura permanente de armazenamento e manutenção, além de risco de subutilização. Já a locação garante flexibilidade, economicidade, adequação às normas de segurança e acessibilidade e melhor gestão dos recursos públicos, atendendo de forma mais eficiente às demandas do calendário oficial de evento. </w:t>
      </w:r>
    </w:p>
    <w:p w:rsidR="009B714E" w:rsidRDefault="00B50269" w:rsidP="00025728">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lastRenderedPageBreak/>
        <w:t>Dessa forma, a locação garante eficiência econômica, operacional e técnica, atendendo de maneira mais segura e prática às demandas do calendário oficial de eventos do Município.</w:t>
      </w:r>
    </w:p>
    <w:p w:rsidR="009B714E" w:rsidRDefault="00B50269">
      <w:pPr>
        <w:pBdr>
          <w:top w:val="nil"/>
          <w:left w:val="nil"/>
          <w:bottom w:val="nil"/>
          <w:right w:val="nil"/>
          <w:between w:val="nil"/>
        </w:pBdr>
        <w:ind w:left="360"/>
        <w:jc w:val="both"/>
        <w:rPr>
          <w:rFonts w:ascii="Arial" w:eastAsia="Arial" w:hAnsi="Arial" w:cs="Arial"/>
          <w:b/>
          <w:bCs/>
          <w:sz w:val="22"/>
          <w:szCs w:val="22"/>
        </w:rPr>
      </w:pPr>
      <w:r>
        <w:rPr>
          <w:rFonts w:ascii="Arial" w:eastAsia="Arial" w:hAnsi="Arial" w:cs="Arial"/>
          <w:b/>
          <w:bCs/>
          <w:sz w:val="22"/>
          <w:szCs w:val="22"/>
        </w:rPr>
        <w:t>7.4. Análise comparativa de custos</w:t>
      </w:r>
    </w:p>
    <w:p w:rsidR="009B714E" w:rsidRDefault="009B714E">
      <w:pPr>
        <w:pBdr>
          <w:top w:val="nil"/>
          <w:left w:val="nil"/>
          <w:bottom w:val="nil"/>
          <w:right w:val="nil"/>
          <w:between w:val="nil"/>
        </w:pBdr>
        <w:ind w:left="360"/>
        <w:jc w:val="both"/>
        <w:rPr>
          <w:rFonts w:ascii="Arial" w:eastAsia="Arial" w:hAnsi="Arial" w:cs="Arial"/>
          <w:b/>
          <w:bCs/>
          <w:sz w:val="22"/>
          <w:szCs w:val="22"/>
        </w:rPr>
      </w:pPr>
    </w:p>
    <w:tbl>
      <w:tblPr>
        <w:tblStyle w:val="ae"/>
        <w:tblW w:w="8795" w:type="dxa"/>
        <w:tblInd w:w="0" w:type="dxa"/>
        <w:tblLayout w:type="fixed"/>
        <w:tblLook w:val="0400" w:firstRow="0" w:lastRow="0" w:firstColumn="0" w:lastColumn="0" w:noHBand="0" w:noVBand="1"/>
      </w:tblPr>
      <w:tblGrid>
        <w:gridCol w:w="8795"/>
      </w:tblGrid>
      <w:tr w:rsidR="009B714E">
        <w:tc>
          <w:tcPr>
            <w:tcW w:w="8795" w:type="dxa"/>
            <w:tcBorders>
              <w:top w:val="single" w:sz="4" w:space="0" w:color="000000"/>
              <w:left w:val="single" w:sz="4" w:space="0" w:color="000000"/>
              <w:right w:val="single" w:sz="4" w:space="0" w:color="000000"/>
            </w:tcBorders>
            <w:shd w:val="clear" w:color="auto" w:fill="DDDDDD"/>
            <w:tcMar>
              <w:top w:w="55" w:type="dxa"/>
              <w:left w:w="55" w:type="dxa"/>
              <w:bottom w:w="55" w:type="dxa"/>
              <w:right w:w="55" w:type="dxa"/>
            </w:tcMar>
          </w:tcPr>
          <w:p w:rsidR="009B714E" w:rsidRDefault="00B50269">
            <w:pPr>
              <w:pBdr>
                <w:top w:val="nil"/>
                <w:left w:val="nil"/>
                <w:bottom w:val="nil"/>
                <w:right w:val="nil"/>
                <w:between w:val="nil"/>
              </w:pBdr>
              <w:tabs>
                <w:tab w:val="center" w:pos="4252"/>
                <w:tab w:val="right" w:pos="8504"/>
              </w:tabs>
              <w:rPr>
                <w:rFonts w:ascii="Arial" w:eastAsia="Arial" w:hAnsi="Arial" w:cs="Arial"/>
                <w:b/>
                <w:bCs/>
                <w:color w:val="000000"/>
                <w:sz w:val="20"/>
                <w:szCs w:val="20"/>
                <w:highlight w:val="white"/>
              </w:rPr>
            </w:pPr>
            <w:r>
              <w:rPr>
                <w:rFonts w:ascii="Arial" w:eastAsia="Arial" w:hAnsi="Arial" w:cs="Arial"/>
                <w:b/>
                <w:bCs/>
                <w:color w:val="000000"/>
                <w:sz w:val="20"/>
                <w:szCs w:val="20"/>
                <w:highlight w:val="white"/>
              </w:rPr>
              <w:t>Solução Viável 1</w:t>
            </w:r>
          </w:p>
        </w:tc>
      </w:tr>
      <w:tr w:rsidR="009B714E">
        <w:tc>
          <w:tcPr>
            <w:tcW w:w="8795" w:type="dxa"/>
            <w:tcBorders>
              <w:left w:val="single" w:sz="4" w:space="0" w:color="000000"/>
              <w:right w:val="single" w:sz="4" w:space="0" w:color="000000"/>
            </w:tcBorders>
            <w:shd w:val="clear" w:color="auto" w:fill="EEEEEE"/>
            <w:tcMar>
              <w:top w:w="55" w:type="dxa"/>
              <w:left w:w="55" w:type="dxa"/>
              <w:bottom w:w="55" w:type="dxa"/>
              <w:right w:w="55" w:type="dxa"/>
            </w:tcMar>
          </w:tcPr>
          <w:p w:rsidR="009B714E" w:rsidRDefault="00B50269">
            <w:pPr>
              <w:pBdr>
                <w:top w:val="nil"/>
                <w:left w:val="nil"/>
                <w:bottom w:val="nil"/>
                <w:right w:val="nil"/>
                <w:between w:val="nil"/>
              </w:pBdr>
              <w:tabs>
                <w:tab w:val="center" w:pos="4252"/>
                <w:tab w:val="right" w:pos="8504"/>
              </w:tabs>
              <w:jc w:val="both"/>
              <w:rPr>
                <w:rFonts w:ascii="Arial" w:eastAsia="Arial" w:hAnsi="Arial" w:cs="Arial"/>
                <w:b/>
                <w:bCs/>
                <w:color w:val="000000"/>
                <w:sz w:val="20"/>
                <w:szCs w:val="20"/>
              </w:rPr>
            </w:pPr>
            <w:r>
              <w:rPr>
                <w:rFonts w:ascii="Arial" w:eastAsia="Arial" w:hAnsi="Arial" w:cs="Arial"/>
                <w:b/>
                <w:bCs/>
                <w:color w:val="000000"/>
                <w:sz w:val="20"/>
                <w:szCs w:val="20"/>
              </w:rPr>
              <w:t xml:space="preserve">Descrição: </w:t>
            </w:r>
            <w:r>
              <w:rPr>
                <w:rFonts w:ascii="Arial" w:eastAsia="Arial" w:hAnsi="Arial" w:cs="Arial"/>
                <w:b/>
                <w:bCs/>
                <w:sz w:val="20"/>
                <w:szCs w:val="20"/>
              </w:rPr>
              <w:t>Compra de painéis de tendas e banheiros Containers.</w:t>
            </w:r>
          </w:p>
        </w:tc>
      </w:tr>
      <w:tr w:rsidR="009B714E">
        <w:tc>
          <w:tcPr>
            <w:tcW w:w="8795" w:type="dxa"/>
            <w:tcBorders>
              <w:left w:val="single" w:sz="4" w:space="0" w:color="000000"/>
              <w:bottom w:val="single" w:sz="4" w:space="0" w:color="000000"/>
              <w:right w:val="single" w:sz="4" w:space="0" w:color="000000"/>
            </w:tcBorders>
            <w:shd w:val="clear" w:color="auto" w:fill="EEEEEE"/>
            <w:tcMar>
              <w:top w:w="55" w:type="dxa"/>
              <w:left w:w="55" w:type="dxa"/>
              <w:bottom w:w="55" w:type="dxa"/>
              <w:right w:w="55" w:type="dxa"/>
            </w:tcMar>
          </w:tcPr>
          <w:p w:rsidR="009B714E" w:rsidRDefault="00B50269">
            <w:pPr>
              <w:pBdr>
                <w:top w:val="nil"/>
                <w:left w:val="nil"/>
                <w:bottom w:val="nil"/>
                <w:right w:val="nil"/>
                <w:between w:val="nil"/>
              </w:pBdr>
              <w:tabs>
                <w:tab w:val="center" w:pos="4252"/>
                <w:tab w:val="right" w:pos="8504"/>
              </w:tabs>
              <w:jc w:val="both"/>
              <w:rPr>
                <w:rFonts w:ascii="Arial" w:eastAsia="Arial" w:hAnsi="Arial" w:cs="Arial"/>
                <w:b/>
                <w:bCs/>
                <w:sz w:val="20"/>
                <w:szCs w:val="20"/>
              </w:rPr>
            </w:pPr>
            <w:r>
              <w:rPr>
                <w:rFonts w:ascii="Arial" w:eastAsia="Arial" w:hAnsi="Arial" w:cs="Arial"/>
                <w:b/>
                <w:bCs/>
                <w:color w:val="000000"/>
                <w:sz w:val="20"/>
                <w:szCs w:val="20"/>
              </w:rPr>
              <w:t xml:space="preserve">Custo </w:t>
            </w:r>
            <w:r>
              <w:rPr>
                <w:rFonts w:ascii="Arial" w:eastAsia="Arial" w:hAnsi="Arial" w:cs="Arial"/>
                <w:b/>
                <w:bCs/>
                <w:sz w:val="20"/>
                <w:szCs w:val="20"/>
              </w:rPr>
              <w:t>Total</w:t>
            </w:r>
            <w:r>
              <w:rPr>
                <w:rFonts w:ascii="Arial" w:eastAsia="Arial" w:hAnsi="Arial" w:cs="Arial"/>
                <w:b/>
                <w:bCs/>
                <w:color w:val="000000"/>
                <w:sz w:val="20"/>
                <w:szCs w:val="20"/>
              </w:rPr>
              <w:t xml:space="preserve"> –</w:t>
            </w:r>
            <w:r>
              <w:rPr>
                <w:rFonts w:ascii="Arial" w:eastAsia="Arial" w:hAnsi="Arial" w:cs="Arial"/>
                <w:b/>
                <w:bCs/>
                <w:sz w:val="20"/>
                <w:szCs w:val="20"/>
              </w:rPr>
              <w:t xml:space="preserve"> R$ 500.000,00</w:t>
            </w:r>
          </w:p>
        </w:tc>
      </w:tr>
      <w:tr w:rsidR="009B714E">
        <w:tc>
          <w:tcPr>
            <w:tcW w:w="8795" w:type="dxa"/>
            <w:tcBorders>
              <w:top w:val="single" w:sz="4" w:space="0" w:color="000000"/>
              <w:left w:val="single" w:sz="4" w:space="0" w:color="000000"/>
              <w:right w:val="single" w:sz="4" w:space="0" w:color="000000"/>
            </w:tcBorders>
            <w:shd w:val="clear" w:color="auto" w:fill="DDDDDD"/>
            <w:tcMar>
              <w:top w:w="55" w:type="dxa"/>
              <w:left w:w="55" w:type="dxa"/>
              <w:bottom w:w="55" w:type="dxa"/>
              <w:right w:w="55" w:type="dxa"/>
            </w:tcMar>
          </w:tcPr>
          <w:p w:rsidR="009B714E" w:rsidRDefault="00B50269">
            <w:pPr>
              <w:pBdr>
                <w:top w:val="nil"/>
                <w:left w:val="nil"/>
                <w:bottom w:val="nil"/>
                <w:right w:val="nil"/>
                <w:between w:val="nil"/>
              </w:pBdr>
              <w:tabs>
                <w:tab w:val="center" w:pos="4252"/>
                <w:tab w:val="right" w:pos="8504"/>
              </w:tabs>
              <w:rPr>
                <w:rFonts w:ascii="Arial" w:eastAsia="Arial" w:hAnsi="Arial" w:cs="Arial"/>
                <w:b/>
                <w:bCs/>
                <w:color w:val="000000"/>
                <w:sz w:val="20"/>
                <w:szCs w:val="20"/>
              </w:rPr>
            </w:pPr>
            <w:r>
              <w:rPr>
                <w:rFonts w:ascii="Arial" w:eastAsia="Arial" w:hAnsi="Arial" w:cs="Arial"/>
                <w:b/>
                <w:bCs/>
                <w:color w:val="000000"/>
                <w:sz w:val="20"/>
                <w:szCs w:val="20"/>
              </w:rPr>
              <w:t>Solução Viável 2</w:t>
            </w:r>
          </w:p>
        </w:tc>
      </w:tr>
      <w:tr w:rsidR="009B714E">
        <w:tc>
          <w:tcPr>
            <w:tcW w:w="8795" w:type="dxa"/>
            <w:tcBorders>
              <w:left w:val="single" w:sz="4" w:space="0" w:color="000000"/>
              <w:right w:val="single" w:sz="4" w:space="0" w:color="000000"/>
            </w:tcBorders>
            <w:shd w:val="clear" w:color="auto" w:fill="EEEEEE"/>
            <w:tcMar>
              <w:top w:w="55" w:type="dxa"/>
              <w:left w:w="55" w:type="dxa"/>
              <w:bottom w:w="55" w:type="dxa"/>
              <w:right w:w="55" w:type="dxa"/>
            </w:tcMar>
          </w:tcPr>
          <w:p w:rsidR="009B714E" w:rsidRDefault="00B50269">
            <w:pPr>
              <w:pBdr>
                <w:top w:val="nil"/>
                <w:left w:val="nil"/>
                <w:bottom w:val="nil"/>
                <w:right w:val="nil"/>
                <w:between w:val="nil"/>
              </w:pBdr>
              <w:tabs>
                <w:tab w:val="center" w:pos="4252"/>
                <w:tab w:val="right" w:pos="8504"/>
              </w:tabs>
              <w:jc w:val="both"/>
              <w:rPr>
                <w:rFonts w:ascii="Arial" w:eastAsia="Arial" w:hAnsi="Arial" w:cs="Arial"/>
                <w:b/>
                <w:bCs/>
                <w:color w:val="000000"/>
                <w:sz w:val="20"/>
                <w:szCs w:val="20"/>
              </w:rPr>
            </w:pPr>
            <w:r>
              <w:rPr>
                <w:rFonts w:ascii="Arial" w:eastAsia="Arial" w:hAnsi="Arial" w:cs="Arial"/>
                <w:b/>
                <w:bCs/>
                <w:color w:val="000000"/>
                <w:sz w:val="20"/>
                <w:szCs w:val="20"/>
              </w:rPr>
              <w:t xml:space="preserve">Descrição: </w:t>
            </w:r>
            <w:r>
              <w:rPr>
                <w:rFonts w:ascii="Arial" w:eastAsia="Arial" w:hAnsi="Arial" w:cs="Arial"/>
                <w:b/>
                <w:bCs/>
                <w:sz w:val="20"/>
                <w:szCs w:val="20"/>
              </w:rPr>
              <w:t>Locação de tendas e banheiros Containers.</w:t>
            </w:r>
          </w:p>
        </w:tc>
      </w:tr>
      <w:tr w:rsidR="009B714E">
        <w:tc>
          <w:tcPr>
            <w:tcW w:w="8795" w:type="dxa"/>
            <w:tcBorders>
              <w:left w:val="single" w:sz="4" w:space="0" w:color="000000"/>
              <w:bottom w:val="single" w:sz="4" w:space="0" w:color="000000"/>
              <w:right w:val="single" w:sz="4" w:space="0" w:color="000000"/>
            </w:tcBorders>
            <w:shd w:val="clear" w:color="auto" w:fill="EEEEEE"/>
            <w:tcMar>
              <w:top w:w="55" w:type="dxa"/>
              <w:left w:w="55" w:type="dxa"/>
              <w:bottom w:w="55" w:type="dxa"/>
              <w:right w:w="55" w:type="dxa"/>
            </w:tcMar>
          </w:tcPr>
          <w:p w:rsidR="009B714E" w:rsidRDefault="00B50269">
            <w:pPr>
              <w:pBdr>
                <w:top w:val="nil"/>
                <w:left w:val="nil"/>
                <w:bottom w:val="nil"/>
                <w:right w:val="nil"/>
                <w:between w:val="nil"/>
              </w:pBdr>
              <w:tabs>
                <w:tab w:val="center" w:pos="4252"/>
                <w:tab w:val="right" w:pos="8504"/>
              </w:tabs>
              <w:jc w:val="both"/>
              <w:rPr>
                <w:rFonts w:ascii="Arial" w:eastAsia="Arial" w:hAnsi="Arial" w:cs="Arial"/>
                <w:b/>
                <w:bCs/>
                <w:sz w:val="20"/>
                <w:szCs w:val="20"/>
              </w:rPr>
            </w:pPr>
            <w:r>
              <w:rPr>
                <w:rFonts w:ascii="Arial" w:eastAsia="Arial" w:hAnsi="Arial" w:cs="Arial"/>
                <w:b/>
                <w:bCs/>
                <w:color w:val="000000"/>
                <w:sz w:val="20"/>
                <w:szCs w:val="20"/>
              </w:rPr>
              <w:t xml:space="preserve">Custo </w:t>
            </w:r>
            <w:r>
              <w:rPr>
                <w:rFonts w:ascii="Arial" w:eastAsia="Arial" w:hAnsi="Arial" w:cs="Arial"/>
                <w:b/>
                <w:bCs/>
                <w:sz w:val="20"/>
                <w:szCs w:val="20"/>
              </w:rPr>
              <w:t>Total</w:t>
            </w:r>
            <w:r>
              <w:rPr>
                <w:rFonts w:ascii="Arial" w:eastAsia="Arial" w:hAnsi="Arial" w:cs="Arial"/>
                <w:b/>
                <w:bCs/>
                <w:color w:val="000000"/>
                <w:sz w:val="20"/>
                <w:szCs w:val="20"/>
              </w:rPr>
              <w:t xml:space="preserve"> –</w:t>
            </w:r>
            <w:r>
              <w:rPr>
                <w:rFonts w:ascii="Arial" w:eastAsia="Arial" w:hAnsi="Arial" w:cs="Arial"/>
                <w:b/>
                <w:bCs/>
                <w:sz w:val="20"/>
                <w:szCs w:val="20"/>
              </w:rPr>
              <w:t xml:space="preserve"> R$</w:t>
            </w:r>
            <w:r>
              <w:rPr>
                <w:rFonts w:ascii="Arial" w:eastAsia="Arial" w:hAnsi="Arial" w:cs="Arial"/>
                <w:b/>
                <w:bCs/>
                <w:color w:val="FF0000"/>
                <w:sz w:val="20"/>
                <w:szCs w:val="20"/>
              </w:rPr>
              <w:t xml:space="preserve"> </w:t>
            </w:r>
            <w:r>
              <w:rPr>
                <w:rFonts w:ascii="Arial" w:eastAsia="Arial" w:hAnsi="Arial" w:cs="Arial"/>
                <w:b/>
                <w:bCs/>
                <w:sz w:val="20"/>
                <w:szCs w:val="20"/>
              </w:rPr>
              <w:t>150.000,00</w:t>
            </w:r>
          </w:p>
        </w:tc>
      </w:tr>
    </w:tbl>
    <w:p w:rsidR="009B714E" w:rsidRDefault="009B714E">
      <w:pPr>
        <w:widowControl w:val="0"/>
        <w:pBdr>
          <w:top w:val="nil"/>
          <w:left w:val="nil"/>
          <w:bottom w:val="nil"/>
          <w:right w:val="nil"/>
          <w:between w:val="nil"/>
        </w:pBdr>
        <w:tabs>
          <w:tab w:val="left" w:pos="555"/>
          <w:tab w:val="left" w:pos="840"/>
          <w:tab w:val="left" w:pos="1140"/>
          <w:tab w:val="left" w:pos="1395"/>
          <w:tab w:val="left" w:pos="1650"/>
          <w:tab w:val="left" w:pos="1965"/>
          <w:tab w:val="left" w:pos="2220"/>
          <w:tab w:val="left" w:pos="7336"/>
        </w:tabs>
        <w:spacing w:before="57" w:after="57"/>
        <w:jc w:val="both"/>
        <w:rPr>
          <w:rFonts w:ascii="Arial" w:eastAsia="Arial" w:hAnsi="Arial" w:cs="Arial"/>
          <w:color w:val="0000FF"/>
          <w:sz w:val="22"/>
          <w:szCs w:val="22"/>
        </w:rPr>
      </w:pPr>
    </w:p>
    <w:p w:rsidR="009B714E" w:rsidRDefault="00B50269">
      <w:pPr>
        <w:widowControl w:val="0"/>
        <w:pBdr>
          <w:top w:val="nil"/>
          <w:left w:val="nil"/>
          <w:bottom w:val="nil"/>
          <w:right w:val="nil"/>
          <w:between w:val="nil"/>
        </w:pBdr>
        <w:tabs>
          <w:tab w:val="left" w:pos="582"/>
          <w:tab w:val="left" w:pos="867"/>
          <w:tab w:val="left" w:pos="1167"/>
          <w:tab w:val="left" w:pos="1422"/>
          <w:tab w:val="left" w:pos="1677"/>
          <w:tab w:val="left" w:pos="1992"/>
          <w:tab w:val="left" w:pos="2247"/>
          <w:tab w:val="left" w:pos="7363"/>
        </w:tabs>
        <w:spacing w:before="57" w:after="57"/>
        <w:jc w:val="both"/>
        <w:rPr>
          <w:rFonts w:ascii="Arial" w:eastAsia="Arial" w:hAnsi="Arial" w:cs="Arial"/>
          <w:b/>
          <w:bCs/>
          <w:color w:val="000000"/>
          <w:sz w:val="22"/>
          <w:szCs w:val="22"/>
        </w:rPr>
      </w:pPr>
      <w:r>
        <w:rPr>
          <w:rFonts w:ascii="Arial" w:eastAsia="Arial" w:hAnsi="Arial" w:cs="Arial"/>
          <w:b/>
          <w:bCs/>
          <w:color w:val="000000"/>
          <w:sz w:val="22"/>
          <w:szCs w:val="22"/>
        </w:rPr>
        <w:t xml:space="preserve">7.5 – MAPA COMPARATIVO DOS CUSTOS TOTAIS </w:t>
      </w:r>
    </w:p>
    <w:p w:rsidR="009B714E" w:rsidRDefault="009B714E">
      <w:pPr>
        <w:widowControl w:val="0"/>
        <w:pBdr>
          <w:top w:val="nil"/>
          <w:left w:val="nil"/>
          <w:bottom w:val="nil"/>
          <w:right w:val="nil"/>
          <w:between w:val="nil"/>
        </w:pBdr>
        <w:tabs>
          <w:tab w:val="left" w:pos="555"/>
          <w:tab w:val="left" w:pos="840"/>
          <w:tab w:val="left" w:pos="1140"/>
          <w:tab w:val="left" w:pos="1395"/>
          <w:tab w:val="left" w:pos="1650"/>
          <w:tab w:val="left" w:pos="1965"/>
          <w:tab w:val="left" w:pos="2220"/>
          <w:tab w:val="left" w:pos="7336"/>
        </w:tabs>
        <w:spacing w:before="57" w:after="57"/>
        <w:jc w:val="both"/>
        <w:rPr>
          <w:rFonts w:ascii="Arial" w:eastAsia="Arial" w:hAnsi="Arial" w:cs="Arial"/>
          <w:color w:val="FF0000"/>
          <w:sz w:val="22"/>
          <w:szCs w:val="22"/>
          <w:highlight w:val="white"/>
        </w:rPr>
      </w:pPr>
    </w:p>
    <w:tbl>
      <w:tblPr>
        <w:tblStyle w:val="af"/>
        <w:tblW w:w="9015" w:type="dxa"/>
        <w:tblInd w:w="-289" w:type="dxa"/>
        <w:tblLayout w:type="fixed"/>
        <w:tblLook w:val="0400" w:firstRow="0" w:lastRow="0" w:firstColumn="0" w:lastColumn="0" w:noHBand="0" w:noVBand="1"/>
      </w:tblPr>
      <w:tblGrid>
        <w:gridCol w:w="1980"/>
        <w:gridCol w:w="1905"/>
        <w:gridCol w:w="1755"/>
        <w:gridCol w:w="1740"/>
        <w:gridCol w:w="1635"/>
      </w:tblGrid>
      <w:tr w:rsidR="009B714E">
        <w:tc>
          <w:tcPr>
            <w:tcW w:w="1980" w:type="dxa"/>
            <w:vMerge w:val="restart"/>
            <w:tcBorders>
              <w:top w:val="single" w:sz="4" w:space="0" w:color="000000"/>
              <w:left w:val="single" w:sz="4" w:space="0" w:color="000000"/>
              <w:bottom w:val="single" w:sz="4" w:space="0" w:color="000000"/>
            </w:tcBorders>
            <w:shd w:val="clear" w:color="auto" w:fill="EEEEEE"/>
            <w:tcMar>
              <w:top w:w="55" w:type="dxa"/>
              <w:left w:w="55" w:type="dxa"/>
              <w:bottom w:w="55" w:type="dxa"/>
              <w:right w:w="55" w:type="dxa"/>
            </w:tcMar>
          </w:tcPr>
          <w:p w:rsidR="009B714E" w:rsidRDefault="00B50269">
            <w:pPr>
              <w:widowControl w:val="0"/>
              <w:pBdr>
                <w:top w:val="nil"/>
                <w:left w:val="nil"/>
                <w:bottom w:val="nil"/>
                <w:right w:val="nil"/>
                <w:between w:val="nil"/>
              </w:pBdr>
              <w:jc w:val="center"/>
              <w:rPr>
                <w:rFonts w:ascii="Arial" w:eastAsia="Arial" w:hAnsi="Arial" w:cs="Arial"/>
                <w:b/>
                <w:bCs/>
                <w:color w:val="000000"/>
                <w:sz w:val="22"/>
                <w:szCs w:val="22"/>
              </w:rPr>
            </w:pPr>
            <w:r>
              <w:rPr>
                <w:rFonts w:ascii="Arial" w:eastAsia="Arial" w:hAnsi="Arial" w:cs="Arial"/>
                <w:b/>
                <w:bCs/>
                <w:color w:val="000000"/>
                <w:sz w:val="22"/>
                <w:szCs w:val="22"/>
              </w:rPr>
              <w:t>Descrição da solução</w:t>
            </w:r>
          </w:p>
        </w:tc>
        <w:tc>
          <w:tcPr>
            <w:tcW w:w="5400" w:type="dxa"/>
            <w:gridSpan w:val="3"/>
            <w:tcBorders>
              <w:top w:val="single" w:sz="4" w:space="0" w:color="000000"/>
              <w:left w:val="single" w:sz="4" w:space="0" w:color="000000"/>
              <w:bottom w:val="single" w:sz="4" w:space="0" w:color="000000"/>
            </w:tcBorders>
            <w:shd w:val="clear" w:color="auto" w:fill="EEEEEE"/>
            <w:tcMar>
              <w:top w:w="55" w:type="dxa"/>
              <w:left w:w="55" w:type="dxa"/>
              <w:bottom w:w="55" w:type="dxa"/>
              <w:right w:w="55" w:type="dxa"/>
            </w:tcMar>
          </w:tcPr>
          <w:p w:rsidR="009B714E" w:rsidRDefault="00B50269">
            <w:pPr>
              <w:widowControl w:val="0"/>
              <w:pBdr>
                <w:top w:val="nil"/>
                <w:left w:val="nil"/>
                <w:bottom w:val="nil"/>
                <w:right w:val="nil"/>
                <w:between w:val="nil"/>
              </w:pBdr>
              <w:rPr>
                <w:rFonts w:ascii="Arial" w:eastAsia="Arial" w:hAnsi="Arial" w:cs="Arial"/>
                <w:b/>
                <w:bCs/>
                <w:color w:val="000000"/>
                <w:sz w:val="22"/>
                <w:szCs w:val="22"/>
              </w:rPr>
            </w:pPr>
            <w:r>
              <w:rPr>
                <w:rFonts w:ascii="Arial" w:eastAsia="Arial" w:hAnsi="Arial" w:cs="Arial"/>
                <w:b/>
                <w:bCs/>
                <w:color w:val="000000"/>
                <w:sz w:val="22"/>
                <w:szCs w:val="22"/>
              </w:rPr>
              <w:t>Estimativa ao longo dos anos</w:t>
            </w:r>
          </w:p>
        </w:tc>
        <w:tc>
          <w:tcPr>
            <w:tcW w:w="1635" w:type="dxa"/>
            <w:vMerge w:val="restart"/>
            <w:tcBorders>
              <w:top w:val="single" w:sz="4" w:space="0" w:color="000000"/>
              <w:left w:val="single" w:sz="4" w:space="0" w:color="000000"/>
              <w:bottom w:val="single" w:sz="4" w:space="0" w:color="000000"/>
              <w:right w:val="single" w:sz="4" w:space="0" w:color="000000"/>
            </w:tcBorders>
            <w:shd w:val="clear" w:color="auto" w:fill="EEEEEE"/>
            <w:tcMar>
              <w:top w:w="55" w:type="dxa"/>
              <w:left w:w="55" w:type="dxa"/>
              <w:bottom w:w="55" w:type="dxa"/>
              <w:right w:w="55" w:type="dxa"/>
            </w:tcMar>
          </w:tcPr>
          <w:p w:rsidR="009B714E" w:rsidRDefault="009B714E">
            <w:pPr>
              <w:widowControl w:val="0"/>
              <w:pBdr>
                <w:top w:val="nil"/>
                <w:left w:val="nil"/>
                <w:bottom w:val="nil"/>
                <w:right w:val="nil"/>
                <w:between w:val="nil"/>
              </w:pBdr>
              <w:jc w:val="center"/>
              <w:rPr>
                <w:rFonts w:ascii="Arial" w:eastAsia="Arial" w:hAnsi="Arial" w:cs="Arial"/>
                <w:b/>
                <w:bCs/>
                <w:color w:val="000000"/>
                <w:sz w:val="22"/>
                <w:szCs w:val="22"/>
              </w:rPr>
            </w:pPr>
          </w:p>
          <w:p w:rsidR="009B714E" w:rsidRDefault="00B50269">
            <w:pPr>
              <w:widowControl w:val="0"/>
              <w:pBdr>
                <w:top w:val="nil"/>
                <w:left w:val="nil"/>
                <w:bottom w:val="nil"/>
                <w:right w:val="nil"/>
                <w:between w:val="nil"/>
              </w:pBdr>
              <w:jc w:val="center"/>
              <w:rPr>
                <w:rFonts w:ascii="Arial" w:eastAsia="Arial" w:hAnsi="Arial" w:cs="Arial"/>
                <w:b/>
                <w:bCs/>
                <w:color w:val="000000"/>
                <w:sz w:val="22"/>
                <w:szCs w:val="22"/>
              </w:rPr>
            </w:pPr>
            <w:r>
              <w:rPr>
                <w:rFonts w:ascii="Arial" w:eastAsia="Arial" w:hAnsi="Arial" w:cs="Arial"/>
                <w:b/>
                <w:bCs/>
                <w:color w:val="000000"/>
                <w:sz w:val="22"/>
                <w:szCs w:val="22"/>
              </w:rPr>
              <w:t>Total</w:t>
            </w:r>
          </w:p>
        </w:tc>
      </w:tr>
      <w:tr w:rsidR="009B714E">
        <w:tc>
          <w:tcPr>
            <w:tcW w:w="1980" w:type="dxa"/>
            <w:vMerge/>
            <w:tcBorders>
              <w:top w:val="single" w:sz="4" w:space="0" w:color="000000"/>
              <w:left w:val="single" w:sz="4" w:space="0" w:color="000000"/>
              <w:bottom w:val="single" w:sz="4" w:space="0" w:color="000000"/>
            </w:tcBorders>
            <w:shd w:val="clear" w:color="auto" w:fill="EEEEEE"/>
            <w:tcMar>
              <w:top w:w="55" w:type="dxa"/>
              <w:left w:w="55" w:type="dxa"/>
              <w:bottom w:w="55" w:type="dxa"/>
              <w:right w:w="55" w:type="dxa"/>
            </w:tcMar>
          </w:tcPr>
          <w:p w:rsidR="009B714E" w:rsidRDefault="009B714E">
            <w:pPr>
              <w:widowControl w:val="0"/>
              <w:pBdr>
                <w:top w:val="nil"/>
                <w:left w:val="nil"/>
                <w:bottom w:val="nil"/>
                <w:right w:val="nil"/>
                <w:between w:val="nil"/>
              </w:pBdr>
              <w:spacing w:line="276" w:lineRule="auto"/>
              <w:rPr>
                <w:rFonts w:ascii="Arial" w:eastAsia="Arial" w:hAnsi="Arial" w:cs="Arial"/>
                <w:b/>
                <w:bCs/>
                <w:color w:val="000000"/>
                <w:sz w:val="22"/>
                <w:szCs w:val="22"/>
              </w:rPr>
            </w:pPr>
          </w:p>
        </w:tc>
        <w:tc>
          <w:tcPr>
            <w:tcW w:w="1905" w:type="dxa"/>
            <w:tcBorders>
              <w:left w:val="single" w:sz="4" w:space="0" w:color="000000"/>
              <w:bottom w:val="single" w:sz="4" w:space="0" w:color="000000"/>
            </w:tcBorders>
            <w:shd w:val="clear" w:color="auto" w:fill="EEEEEE"/>
            <w:tcMar>
              <w:top w:w="55" w:type="dxa"/>
              <w:left w:w="55" w:type="dxa"/>
              <w:bottom w:w="55" w:type="dxa"/>
              <w:right w:w="55" w:type="dxa"/>
            </w:tcMar>
          </w:tcPr>
          <w:p w:rsidR="009B714E" w:rsidRDefault="00B50269">
            <w:pPr>
              <w:widowControl w:val="0"/>
              <w:pBdr>
                <w:top w:val="nil"/>
                <w:left w:val="nil"/>
                <w:bottom w:val="nil"/>
                <w:right w:val="nil"/>
                <w:between w:val="nil"/>
              </w:pBdr>
              <w:jc w:val="center"/>
              <w:rPr>
                <w:rFonts w:ascii="Arial" w:eastAsia="Arial" w:hAnsi="Arial" w:cs="Arial"/>
                <w:b/>
                <w:bCs/>
                <w:color w:val="000000"/>
                <w:sz w:val="22"/>
                <w:szCs w:val="22"/>
              </w:rPr>
            </w:pPr>
            <w:r>
              <w:rPr>
                <w:rFonts w:ascii="Arial" w:eastAsia="Arial" w:hAnsi="Arial" w:cs="Arial"/>
                <w:b/>
                <w:bCs/>
                <w:color w:val="000000"/>
                <w:sz w:val="22"/>
                <w:szCs w:val="22"/>
              </w:rPr>
              <w:t>Ano 1</w:t>
            </w:r>
          </w:p>
        </w:tc>
        <w:tc>
          <w:tcPr>
            <w:tcW w:w="1755" w:type="dxa"/>
            <w:tcBorders>
              <w:left w:val="single" w:sz="4" w:space="0" w:color="000000"/>
              <w:bottom w:val="single" w:sz="4" w:space="0" w:color="000000"/>
            </w:tcBorders>
            <w:shd w:val="clear" w:color="auto" w:fill="EEEEEE"/>
            <w:tcMar>
              <w:top w:w="55" w:type="dxa"/>
              <w:left w:w="55" w:type="dxa"/>
              <w:bottom w:w="55" w:type="dxa"/>
              <w:right w:w="55" w:type="dxa"/>
            </w:tcMar>
          </w:tcPr>
          <w:p w:rsidR="009B714E" w:rsidRDefault="00B50269">
            <w:pPr>
              <w:widowControl w:val="0"/>
              <w:pBdr>
                <w:top w:val="nil"/>
                <w:left w:val="nil"/>
                <w:bottom w:val="nil"/>
                <w:right w:val="nil"/>
                <w:between w:val="nil"/>
              </w:pBdr>
              <w:jc w:val="center"/>
              <w:rPr>
                <w:rFonts w:ascii="Arial" w:eastAsia="Arial" w:hAnsi="Arial" w:cs="Arial"/>
                <w:b/>
                <w:bCs/>
                <w:color w:val="000000"/>
                <w:sz w:val="22"/>
                <w:szCs w:val="22"/>
              </w:rPr>
            </w:pPr>
            <w:r>
              <w:rPr>
                <w:rFonts w:ascii="Arial" w:eastAsia="Arial" w:hAnsi="Arial" w:cs="Arial"/>
                <w:b/>
                <w:bCs/>
                <w:color w:val="000000"/>
                <w:sz w:val="22"/>
                <w:szCs w:val="22"/>
              </w:rPr>
              <w:t>Ano 2</w:t>
            </w:r>
          </w:p>
        </w:tc>
        <w:tc>
          <w:tcPr>
            <w:tcW w:w="1740" w:type="dxa"/>
            <w:tcBorders>
              <w:left w:val="single" w:sz="4" w:space="0" w:color="000000"/>
              <w:bottom w:val="single" w:sz="4" w:space="0" w:color="000000"/>
            </w:tcBorders>
            <w:shd w:val="clear" w:color="auto" w:fill="EEEEEE"/>
            <w:tcMar>
              <w:top w:w="55" w:type="dxa"/>
              <w:left w:w="55" w:type="dxa"/>
              <w:bottom w:w="55" w:type="dxa"/>
              <w:right w:w="55" w:type="dxa"/>
            </w:tcMar>
          </w:tcPr>
          <w:p w:rsidR="009B714E" w:rsidRDefault="00B50269">
            <w:pPr>
              <w:widowControl w:val="0"/>
              <w:pBdr>
                <w:top w:val="nil"/>
                <w:left w:val="nil"/>
                <w:bottom w:val="nil"/>
                <w:right w:val="nil"/>
                <w:between w:val="nil"/>
              </w:pBdr>
              <w:jc w:val="center"/>
              <w:rPr>
                <w:rFonts w:ascii="Arial" w:eastAsia="Arial" w:hAnsi="Arial" w:cs="Arial"/>
                <w:b/>
                <w:bCs/>
                <w:color w:val="000000"/>
                <w:sz w:val="22"/>
                <w:szCs w:val="22"/>
              </w:rPr>
            </w:pPr>
            <w:r>
              <w:rPr>
                <w:rFonts w:ascii="Arial" w:eastAsia="Arial" w:hAnsi="Arial" w:cs="Arial"/>
                <w:b/>
                <w:bCs/>
                <w:color w:val="000000"/>
                <w:sz w:val="22"/>
                <w:szCs w:val="22"/>
              </w:rPr>
              <w:t>Ano 3</w:t>
            </w:r>
          </w:p>
        </w:tc>
        <w:tc>
          <w:tcPr>
            <w:tcW w:w="1635" w:type="dxa"/>
            <w:vMerge/>
            <w:tcBorders>
              <w:top w:val="single" w:sz="4" w:space="0" w:color="000000"/>
              <w:left w:val="single" w:sz="4" w:space="0" w:color="000000"/>
              <w:bottom w:val="single" w:sz="4" w:space="0" w:color="000000"/>
              <w:right w:val="single" w:sz="4" w:space="0" w:color="000000"/>
            </w:tcBorders>
            <w:shd w:val="clear" w:color="auto" w:fill="EEEEEE"/>
            <w:tcMar>
              <w:top w:w="55" w:type="dxa"/>
              <w:left w:w="55" w:type="dxa"/>
              <w:bottom w:w="55" w:type="dxa"/>
              <w:right w:w="55" w:type="dxa"/>
            </w:tcMar>
          </w:tcPr>
          <w:p w:rsidR="009B714E" w:rsidRDefault="009B714E">
            <w:pPr>
              <w:widowControl w:val="0"/>
              <w:pBdr>
                <w:top w:val="nil"/>
                <w:left w:val="nil"/>
                <w:bottom w:val="nil"/>
                <w:right w:val="nil"/>
                <w:between w:val="nil"/>
              </w:pBdr>
              <w:spacing w:line="276" w:lineRule="auto"/>
              <w:rPr>
                <w:rFonts w:ascii="Arial" w:eastAsia="Arial" w:hAnsi="Arial" w:cs="Arial"/>
                <w:b/>
                <w:bCs/>
                <w:color w:val="000000"/>
                <w:sz w:val="22"/>
                <w:szCs w:val="22"/>
              </w:rPr>
            </w:pPr>
          </w:p>
        </w:tc>
      </w:tr>
      <w:tr w:rsidR="009B714E">
        <w:tc>
          <w:tcPr>
            <w:tcW w:w="1980" w:type="dxa"/>
            <w:tcBorders>
              <w:left w:val="single" w:sz="4" w:space="0" w:color="000000"/>
              <w:bottom w:val="single" w:sz="4" w:space="0" w:color="000000"/>
            </w:tcBorders>
            <w:shd w:val="clear" w:color="auto" w:fill="auto"/>
            <w:tcMar>
              <w:top w:w="55" w:type="dxa"/>
              <w:left w:w="55" w:type="dxa"/>
              <w:bottom w:w="55" w:type="dxa"/>
              <w:right w:w="55" w:type="dxa"/>
            </w:tcMar>
          </w:tcPr>
          <w:p w:rsidR="009B714E" w:rsidRDefault="00B50269">
            <w:pPr>
              <w:widowControl w:val="0"/>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Solução Viável 1</w:t>
            </w:r>
          </w:p>
        </w:tc>
        <w:tc>
          <w:tcPr>
            <w:tcW w:w="1905" w:type="dxa"/>
            <w:tcBorders>
              <w:left w:val="single" w:sz="4" w:space="0" w:color="000000"/>
              <w:bottom w:val="single" w:sz="4" w:space="0" w:color="000000"/>
            </w:tcBorders>
            <w:shd w:val="clear" w:color="auto" w:fill="auto"/>
            <w:tcMar>
              <w:top w:w="55" w:type="dxa"/>
              <w:left w:w="55" w:type="dxa"/>
              <w:bottom w:w="55" w:type="dxa"/>
              <w:right w:w="55" w:type="dxa"/>
            </w:tcMar>
          </w:tcPr>
          <w:p w:rsidR="009B714E" w:rsidRDefault="00B50269">
            <w:pPr>
              <w:tabs>
                <w:tab w:val="center" w:pos="4252"/>
                <w:tab w:val="right" w:pos="8504"/>
              </w:tabs>
              <w:jc w:val="both"/>
              <w:rPr>
                <w:rFonts w:ascii="Arial" w:eastAsia="Arial" w:hAnsi="Arial" w:cs="Arial"/>
                <w:sz w:val="22"/>
                <w:szCs w:val="22"/>
                <w:highlight w:val="white"/>
              </w:rPr>
            </w:pPr>
            <w:r>
              <w:rPr>
                <w:rFonts w:ascii="Arial" w:eastAsia="Arial" w:hAnsi="Arial" w:cs="Arial"/>
                <w:sz w:val="22"/>
                <w:szCs w:val="22"/>
                <w:highlight w:val="white"/>
              </w:rPr>
              <w:t>R$ 500.000,00</w:t>
            </w:r>
          </w:p>
        </w:tc>
        <w:tc>
          <w:tcPr>
            <w:tcW w:w="1755" w:type="dxa"/>
            <w:tcBorders>
              <w:left w:val="single" w:sz="4" w:space="0" w:color="000000"/>
              <w:bottom w:val="single" w:sz="4" w:space="0" w:color="000000"/>
            </w:tcBorders>
            <w:shd w:val="clear" w:color="auto" w:fill="auto"/>
            <w:tcMar>
              <w:top w:w="55" w:type="dxa"/>
              <w:left w:w="55" w:type="dxa"/>
              <w:bottom w:w="55" w:type="dxa"/>
              <w:right w:w="55" w:type="dxa"/>
            </w:tcMar>
          </w:tcPr>
          <w:p w:rsidR="009B714E" w:rsidRDefault="00B50269">
            <w:pPr>
              <w:tabs>
                <w:tab w:val="center" w:pos="4252"/>
                <w:tab w:val="right" w:pos="8504"/>
              </w:tabs>
              <w:jc w:val="both"/>
              <w:rPr>
                <w:rFonts w:ascii="Arial" w:eastAsia="Arial" w:hAnsi="Arial" w:cs="Arial"/>
                <w:sz w:val="22"/>
                <w:szCs w:val="22"/>
                <w:highlight w:val="white"/>
              </w:rPr>
            </w:pPr>
            <w:r>
              <w:rPr>
                <w:rFonts w:ascii="Arial" w:eastAsia="Arial" w:hAnsi="Arial" w:cs="Arial"/>
                <w:sz w:val="22"/>
                <w:szCs w:val="22"/>
                <w:highlight w:val="white"/>
              </w:rPr>
              <w:t>R$ 50.000,00</w:t>
            </w:r>
          </w:p>
        </w:tc>
        <w:tc>
          <w:tcPr>
            <w:tcW w:w="1740" w:type="dxa"/>
            <w:tcBorders>
              <w:left w:val="single" w:sz="4" w:space="0" w:color="000000"/>
              <w:bottom w:val="single" w:sz="4" w:space="0" w:color="000000"/>
            </w:tcBorders>
            <w:shd w:val="clear" w:color="auto" w:fill="auto"/>
            <w:tcMar>
              <w:top w:w="55" w:type="dxa"/>
              <w:left w:w="55" w:type="dxa"/>
              <w:bottom w:w="55" w:type="dxa"/>
              <w:right w:w="55" w:type="dxa"/>
            </w:tcMar>
          </w:tcPr>
          <w:p w:rsidR="009B714E" w:rsidRDefault="00B50269">
            <w:pPr>
              <w:tabs>
                <w:tab w:val="center" w:pos="4252"/>
                <w:tab w:val="right" w:pos="8504"/>
              </w:tabs>
              <w:jc w:val="both"/>
              <w:rPr>
                <w:rFonts w:ascii="Arial" w:eastAsia="Arial" w:hAnsi="Arial" w:cs="Arial"/>
                <w:sz w:val="22"/>
                <w:szCs w:val="22"/>
                <w:highlight w:val="white"/>
              </w:rPr>
            </w:pPr>
            <w:r>
              <w:rPr>
                <w:rFonts w:ascii="Arial" w:eastAsia="Arial" w:hAnsi="Arial" w:cs="Arial"/>
                <w:sz w:val="22"/>
                <w:szCs w:val="22"/>
                <w:highlight w:val="white"/>
              </w:rPr>
              <w:t>R$ 50.000,00</w:t>
            </w:r>
          </w:p>
        </w:tc>
        <w:tc>
          <w:tcPr>
            <w:tcW w:w="1635"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9B714E" w:rsidRDefault="00B50269">
            <w:pPr>
              <w:tabs>
                <w:tab w:val="center" w:pos="4252"/>
                <w:tab w:val="right" w:pos="8504"/>
              </w:tabs>
              <w:jc w:val="both"/>
              <w:rPr>
                <w:rFonts w:ascii="Arial" w:eastAsia="Arial" w:hAnsi="Arial" w:cs="Arial"/>
                <w:b/>
                <w:bCs/>
                <w:sz w:val="22"/>
                <w:szCs w:val="22"/>
                <w:highlight w:val="white"/>
              </w:rPr>
            </w:pPr>
            <w:r>
              <w:rPr>
                <w:rFonts w:ascii="Arial" w:eastAsia="Arial" w:hAnsi="Arial" w:cs="Arial"/>
                <w:b/>
                <w:bCs/>
                <w:sz w:val="22"/>
                <w:szCs w:val="22"/>
                <w:highlight w:val="white"/>
              </w:rPr>
              <w:t>R$ 600.000,00</w:t>
            </w:r>
          </w:p>
        </w:tc>
      </w:tr>
      <w:tr w:rsidR="009B714E">
        <w:tc>
          <w:tcPr>
            <w:tcW w:w="1980" w:type="dxa"/>
            <w:tcBorders>
              <w:left w:val="single" w:sz="4" w:space="0" w:color="000000"/>
              <w:bottom w:val="single" w:sz="4" w:space="0" w:color="000000"/>
            </w:tcBorders>
            <w:shd w:val="clear" w:color="auto" w:fill="auto"/>
            <w:tcMar>
              <w:top w:w="55" w:type="dxa"/>
              <w:left w:w="55" w:type="dxa"/>
              <w:bottom w:w="55" w:type="dxa"/>
              <w:right w:w="55" w:type="dxa"/>
            </w:tcMar>
          </w:tcPr>
          <w:p w:rsidR="009B714E" w:rsidRDefault="00B50269">
            <w:pPr>
              <w:widowControl w:val="0"/>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Solução Viável 2</w:t>
            </w:r>
          </w:p>
        </w:tc>
        <w:tc>
          <w:tcPr>
            <w:tcW w:w="1905" w:type="dxa"/>
            <w:tcBorders>
              <w:left w:val="single" w:sz="4" w:space="0" w:color="000000"/>
              <w:bottom w:val="single" w:sz="4" w:space="0" w:color="000000"/>
            </w:tcBorders>
            <w:shd w:val="clear" w:color="auto" w:fill="auto"/>
            <w:tcMar>
              <w:top w:w="55" w:type="dxa"/>
              <w:left w:w="55" w:type="dxa"/>
              <w:bottom w:w="55" w:type="dxa"/>
              <w:right w:w="55" w:type="dxa"/>
            </w:tcMar>
          </w:tcPr>
          <w:p w:rsidR="009B714E" w:rsidRDefault="00B50269">
            <w:pPr>
              <w:tabs>
                <w:tab w:val="center" w:pos="4252"/>
                <w:tab w:val="right" w:pos="8504"/>
              </w:tabs>
              <w:jc w:val="both"/>
              <w:rPr>
                <w:rFonts w:ascii="Arial" w:eastAsia="Arial" w:hAnsi="Arial" w:cs="Arial"/>
                <w:sz w:val="22"/>
                <w:szCs w:val="22"/>
                <w:highlight w:val="white"/>
              </w:rPr>
            </w:pPr>
            <w:r>
              <w:rPr>
                <w:rFonts w:ascii="Arial" w:eastAsia="Arial" w:hAnsi="Arial" w:cs="Arial"/>
                <w:sz w:val="22"/>
                <w:szCs w:val="22"/>
                <w:highlight w:val="white"/>
              </w:rPr>
              <w:t>R$ 150.000,00</w:t>
            </w:r>
          </w:p>
        </w:tc>
        <w:tc>
          <w:tcPr>
            <w:tcW w:w="1755" w:type="dxa"/>
            <w:tcBorders>
              <w:left w:val="single" w:sz="4" w:space="0" w:color="000000"/>
              <w:bottom w:val="single" w:sz="4" w:space="0" w:color="000000"/>
            </w:tcBorders>
            <w:shd w:val="clear" w:color="auto" w:fill="auto"/>
            <w:tcMar>
              <w:top w:w="55" w:type="dxa"/>
              <w:left w:w="55" w:type="dxa"/>
              <w:bottom w:w="55" w:type="dxa"/>
              <w:right w:w="55" w:type="dxa"/>
            </w:tcMar>
          </w:tcPr>
          <w:p w:rsidR="009B714E" w:rsidRDefault="00B50269">
            <w:pPr>
              <w:tabs>
                <w:tab w:val="center" w:pos="4252"/>
                <w:tab w:val="right" w:pos="8504"/>
              </w:tabs>
              <w:jc w:val="both"/>
              <w:rPr>
                <w:rFonts w:ascii="Arial" w:eastAsia="Arial" w:hAnsi="Arial" w:cs="Arial"/>
                <w:sz w:val="22"/>
                <w:szCs w:val="22"/>
                <w:highlight w:val="white"/>
              </w:rPr>
            </w:pPr>
            <w:r>
              <w:rPr>
                <w:rFonts w:ascii="Arial" w:eastAsia="Arial" w:hAnsi="Arial" w:cs="Arial"/>
                <w:sz w:val="22"/>
                <w:szCs w:val="22"/>
                <w:highlight w:val="white"/>
              </w:rPr>
              <w:t>R$ 150.000,00</w:t>
            </w:r>
          </w:p>
        </w:tc>
        <w:tc>
          <w:tcPr>
            <w:tcW w:w="1740" w:type="dxa"/>
            <w:tcBorders>
              <w:left w:val="single" w:sz="4" w:space="0" w:color="000000"/>
              <w:bottom w:val="single" w:sz="4" w:space="0" w:color="000000"/>
            </w:tcBorders>
            <w:shd w:val="clear" w:color="auto" w:fill="auto"/>
            <w:tcMar>
              <w:top w:w="55" w:type="dxa"/>
              <w:left w:w="55" w:type="dxa"/>
              <w:bottom w:w="55" w:type="dxa"/>
              <w:right w:w="55" w:type="dxa"/>
            </w:tcMar>
          </w:tcPr>
          <w:p w:rsidR="009B714E" w:rsidRDefault="00B50269">
            <w:pPr>
              <w:tabs>
                <w:tab w:val="center" w:pos="4252"/>
                <w:tab w:val="right" w:pos="8504"/>
              </w:tabs>
              <w:jc w:val="both"/>
              <w:rPr>
                <w:rFonts w:ascii="Arial" w:eastAsia="Arial" w:hAnsi="Arial" w:cs="Arial"/>
                <w:sz w:val="22"/>
                <w:szCs w:val="22"/>
                <w:highlight w:val="white"/>
              </w:rPr>
            </w:pPr>
            <w:r>
              <w:rPr>
                <w:rFonts w:ascii="Arial" w:eastAsia="Arial" w:hAnsi="Arial" w:cs="Arial"/>
                <w:sz w:val="22"/>
                <w:szCs w:val="22"/>
                <w:highlight w:val="white"/>
              </w:rPr>
              <w:t>R$ 150.000,00</w:t>
            </w:r>
          </w:p>
        </w:tc>
        <w:tc>
          <w:tcPr>
            <w:tcW w:w="1635"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9B714E" w:rsidRDefault="00B50269">
            <w:pPr>
              <w:tabs>
                <w:tab w:val="center" w:pos="4252"/>
                <w:tab w:val="right" w:pos="8504"/>
              </w:tabs>
              <w:jc w:val="both"/>
              <w:rPr>
                <w:rFonts w:ascii="Arial" w:eastAsia="Arial" w:hAnsi="Arial" w:cs="Arial"/>
                <w:b/>
                <w:bCs/>
                <w:sz w:val="22"/>
                <w:szCs w:val="22"/>
                <w:highlight w:val="white"/>
              </w:rPr>
            </w:pPr>
            <w:r>
              <w:rPr>
                <w:rFonts w:ascii="Arial" w:eastAsia="Arial" w:hAnsi="Arial" w:cs="Arial"/>
                <w:b/>
                <w:bCs/>
                <w:sz w:val="22"/>
                <w:szCs w:val="22"/>
                <w:highlight w:val="white"/>
              </w:rPr>
              <w:t>R$ 450.000,00</w:t>
            </w:r>
          </w:p>
        </w:tc>
      </w:tr>
    </w:tbl>
    <w:p w:rsidR="009B714E" w:rsidRDefault="009B714E">
      <w:pPr>
        <w:pBdr>
          <w:top w:val="nil"/>
          <w:left w:val="nil"/>
          <w:bottom w:val="nil"/>
          <w:right w:val="nil"/>
          <w:between w:val="nil"/>
        </w:pBdr>
        <w:jc w:val="both"/>
        <w:rPr>
          <w:rFonts w:ascii="Arial" w:eastAsia="Arial" w:hAnsi="Arial" w:cs="Arial"/>
          <w:color w:val="FF0000"/>
          <w:sz w:val="22"/>
          <w:szCs w:val="22"/>
        </w:rPr>
      </w:pPr>
    </w:p>
    <w:p w:rsidR="009B714E" w:rsidRDefault="009B714E">
      <w:pPr>
        <w:pBdr>
          <w:top w:val="nil"/>
          <w:left w:val="nil"/>
          <w:bottom w:val="nil"/>
          <w:right w:val="nil"/>
          <w:between w:val="nil"/>
        </w:pBdr>
        <w:jc w:val="both"/>
        <w:rPr>
          <w:rFonts w:ascii="Arial" w:eastAsia="Arial" w:hAnsi="Arial" w:cs="Arial"/>
          <w:sz w:val="22"/>
          <w:szCs w:val="22"/>
        </w:rPr>
      </w:pPr>
    </w:p>
    <w:p w:rsidR="009B714E" w:rsidRDefault="00B50269">
      <w:pPr>
        <w:numPr>
          <w:ilvl w:val="0"/>
          <w:numId w:val="2"/>
        </w:numPr>
        <w:pBdr>
          <w:top w:val="nil"/>
          <w:left w:val="nil"/>
          <w:bottom w:val="nil"/>
          <w:right w:val="nil"/>
          <w:between w:val="nil"/>
        </w:pBdr>
        <w:ind w:hanging="360"/>
        <w:jc w:val="both"/>
        <w:rPr>
          <w:rFonts w:ascii="Arial" w:eastAsia="Arial" w:hAnsi="Arial" w:cs="Arial"/>
          <w:b/>
          <w:bCs/>
          <w:sz w:val="22"/>
          <w:szCs w:val="22"/>
        </w:rPr>
      </w:pPr>
      <w:r>
        <w:rPr>
          <w:rFonts w:ascii="Arial" w:eastAsia="Arial" w:hAnsi="Arial" w:cs="Arial"/>
          <w:b/>
          <w:bCs/>
          <w:color w:val="000000"/>
          <w:sz w:val="22"/>
          <w:szCs w:val="22"/>
        </w:rPr>
        <w:t xml:space="preserve">DESCRIÇÃO DA SOLUÇÃO COMO UM TODO </w:t>
      </w:r>
    </w:p>
    <w:p w:rsidR="009B714E" w:rsidRDefault="009B714E">
      <w:pPr>
        <w:pBdr>
          <w:top w:val="nil"/>
          <w:left w:val="nil"/>
          <w:bottom w:val="nil"/>
          <w:right w:val="nil"/>
          <w:between w:val="nil"/>
        </w:pBdr>
        <w:jc w:val="both"/>
        <w:rPr>
          <w:rFonts w:ascii="Arial" w:eastAsia="Arial" w:hAnsi="Arial" w:cs="Arial"/>
          <w:b/>
          <w:bCs/>
          <w:color w:val="FF0000"/>
          <w:sz w:val="22"/>
          <w:szCs w:val="22"/>
        </w:rPr>
      </w:pPr>
    </w:p>
    <w:p w:rsidR="009B714E" w:rsidRDefault="00B50269">
      <w:pPr>
        <w:widowControl w:val="0"/>
        <w:spacing w:before="240" w:after="240" w:line="360" w:lineRule="auto"/>
        <w:ind w:firstLine="720"/>
        <w:jc w:val="both"/>
        <w:rPr>
          <w:rFonts w:ascii="Arial" w:eastAsia="Arial" w:hAnsi="Arial" w:cs="Arial"/>
          <w:sz w:val="22"/>
          <w:szCs w:val="22"/>
        </w:rPr>
      </w:pPr>
      <w:r>
        <w:rPr>
          <w:rFonts w:ascii="Arial" w:eastAsia="Arial" w:hAnsi="Arial" w:cs="Arial"/>
          <w:sz w:val="22"/>
          <w:szCs w:val="22"/>
        </w:rPr>
        <w:t>A solução adotada consiste na locação de estruturas de tendas e banheiros tipo contêiner, incluindo unidades adaptadas para Pessoas com Deficiência (PCD), contemplando os serviços de transporte, montagem, instalação e desmontagem das estruturas. Esta alternativa foi escolhida como a mais eficiente e econômica, considerando que os eventos promovidos pelo Município ocorrem de forma pontual e sazonal, em datas específicas do calendário oficial.</w:t>
      </w:r>
    </w:p>
    <w:p w:rsidR="009B714E" w:rsidRDefault="00B50269">
      <w:pPr>
        <w:widowControl w:val="0"/>
        <w:spacing w:before="240" w:after="240" w:line="360" w:lineRule="auto"/>
        <w:ind w:firstLine="720"/>
        <w:jc w:val="both"/>
        <w:rPr>
          <w:rFonts w:ascii="Arial" w:eastAsia="Arial" w:hAnsi="Arial" w:cs="Arial"/>
          <w:sz w:val="22"/>
          <w:szCs w:val="22"/>
        </w:rPr>
      </w:pPr>
      <w:r>
        <w:rPr>
          <w:rFonts w:ascii="Arial" w:eastAsia="Arial" w:hAnsi="Arial" w:cs="Arial"/>
          <w:sz w:val="22"/>
          <w:szCs w:val="22"/>
        </w:rPr>
        <w:t>A locação de tendas possibilita a organização dos espaços destinados ao público, autoridades, equipes de apoio e demais atividades complementares, além de oferecer proteção contra intempéries, contribuindo para o conforto dos participantes e a continuidade da programação mesmo em condições climáticas adversas.</w:t>
      </w:r>
    </w:p>
    <w:p w:rsidR="009B714E" w:rsidRDefault="00B50269">
      <w:pPr>
        <w:widowControl w:val="0"/>
        <w:spacing w:before="240" w:after="240" w:line="360" w:lineRule="auto"/>
        <w:ind w:firstLine="720"/>
        <w:jc w:val="both"/>
        <w:rPr>
          <w:rFonts w:ascii="Arial" w:eastAsia="Arial" w:hAnsi="Arial" w:cs="Arial"/>
          <w:sz w:val="22"/>
          <w:szCs w:val="22"/>
        </w:rPr>
      </w:pPr>
      <w:r>
        <w:rPr>
          <w:rFonts w:ascii="Arial" w:eastAsia="Arial" w:hAnsi="Arial" w:cs="Arial"/>
          <w:sz w:val="22"/>
          <w:szCs w:val="22"/>
        </w:rPr>
        <w:t xml:space="preserve">A locação de banheiros tipo contêiner, incluindo unidades adaptadas para PCD, assegura condições adequadas de acessibilidade, conforto e atendimento às exigências legais aplicáveis aos eventos com grande circulação de pessoas. Ressalta-se que a </w:t>
      </w:r>
      <w:r>
        <w:rPr>
          <w:rFonts w:ascii="Arial" w:eastAsia="Arial" w:hAnsi="Arial" w:cs="Arial"/>
          <w:sz w:val="22"/>
          <w:szCs w:val="22"/>
        </w:rPr>
        <w:lastRenderedPageBreak/>
        <w:t>contratação compreenderá exclusivamente a locação das unidades, ficando sob responsabilidade da Administração a organização da limpeza durante o evento e o fornecimento de insumos, conforme planejamento específico de cada ocasião.</w:t>
      </w:r>
    </w:p>
    <w:p w:rsidR="009B714E" w:rsidRDefault="00B50269">
      <w:pPr>
        <w:widowControl w:val="0"/>
        <w:spacing w:before="240" w:after="240" w:line="360" w:lineRule="auto"/>
        <w:ind w:firstLine="720"/>
        <w:jc w:val="both"/>
        <w:rPr>
          <w:rFonts w:ascii="Arial" w:eastAsia="Arial" w:hAnsi="Arial" w:cs="Arial"/>
          <w:sz w:val="22"/>
          <w:szCs w:val="22"/>
        </w:rPr>
      </w:pPr>
      <w:r>
        <w:rPr>
          <w:rFonts w:ascii="Arial" w:eastAsia="Arial" w:hAnsi="Arial" w:cs="Arial"/>
          <w:sz w:val="22"/>
          <w:szCs w:val="22"/>
        </w:rPr>
        <w:t>A solução por meio do Sistema de Registro de Preços oferece flexibilidade para que as estruturas sejam dimensionadas conforme o porte e as características de cada evento, considerando variáveis como estimativa de público, tipo de programação, espaço físico disponível, duração, contratação de artistas e condições climáticas.</w:t>
      </w:r>
    </w:p>
    <w:p w:rsidR="009B714E" w:rsidRDefault="00B50269">
      <w:pPr>
        <w:widowControl w:val="0"/>
        <w:spacing w:before="240" w:after="240" w:line="360" w:lineRule="auto"/>
        <w:ind w:firstLine="720"/>
        <w:jc w:val="both"/>
        <w:rPr>
          <w:rFonts w:ascii="Arial" w:eastAsia="Arial" w:hAnsi="Arial" w:cs="Arial"/>
          <w:sz w:val="22"/>
          <w:szCs w:val="22"/>
        </w:rPr>
      </w:pPr>
      <w:r>
        <w:rPr>
          <w:rFonts w:ascii="Arial" w:eastAsia="Arial" w:hAnsi="Arial" w:cs="Arial"/>
          <w:sz w:val="22"/>
          <w:szCs w:val="22"/>
        </w:rPr>
        <w:t>Não será previamente definido o quantitativo exato de tendas e banheiros para cada evento, uma vez que essa definição dependerá das particularidades verificadas em momento oportuno. Essa flexibilidade permite adequar os serviços à real necessidade, evitando desperdícios, otimizando recursos públicos e garantindo eficiência administrativa.</w:t>
      </w:r>
    </w:p>
    <w:p w:rsidR="009B714E" w:rsidRDefault="00B50269">
      <w:pPr>
        <w:widowControl w:val="0"/>
        <w:spacing w:before="240" w:after="240" w:line="360" w:lineRule="auto"/>
        <w:ind w:firstLine="720"/>
        <w:jc w:val="both"/>
        <w:rPr>
          <w:rFonts w:ascii="Arial" w:eastAsia="Arial" w:hAnsi="Arial" w:cs="Arial"/>
          <w:sz w:val="22"/>
          <w:szCs w:val="22"/>
        </w:rPr>
      </w:pPr>
      <w:r>
        <w:rPr>
          <w:rFonts w:ascii="Arial" w:eastAsia="Arial" w:hAnsi="Arial" w:cs="Arial"/>
          <w:sz w:val="22"/>
          <w:szCs w:val="22"/>
        </w:rPr>
        <w:t>Dessa forma, a solução adotada atende de maneira econômica, técnica e operacional às demandas do calendário oficial de eventos do Município, assegurando infraestrutura adequada, segurança estrutural, acessibilidade e melhores condições de organização e conforto ao público participante.</w:t>
      </w:r>
    </w:p>
    <w:p w:rsidR="009B714E" w:rsidRDefault="00B50269">
      <w:pPr>
        <w:numPr>
          <w:ilvl w:val="0"/>
          <w:numId w:val="2"/>
        </w:numPr>
        <w:pBdr>
          <w:top w:val="nil"/>
          <w:left w:val="nil"/>
          <w:bottom w:val="nil"/>
          <w:right w:val="nil"/>
          <w:between w:val="nil"/>
        </w:pBdr>
        <w:ind w:hanging="360"/>
        <w:jc w:val="both"/>
        <w:rPr>
          <w:rFonts w:ascii="Arial" w:eastAsia="Arial" w:hAnsi="Arial" w:cs="Arial"/>
          <w:b/>
          <w:bCs/>
          <w:sz w:val="22"/>
          <w:szCs w:val="22"/>
        </w:rPr>
      </w:pPr>
      <w:r>
        <w:rPr>
          <w:rFonts w:ascii="Arial" w:eastAsia="Arial" w:hAnsi="Arial" w:cs="Arial"/>
          <w:b/>
          <w:bCs/>
          <w:color w:val="000000"/>
          <w:sz w:val="22"/>
          <w:szCs w:val="22"/>
        </w:rPr>
        <w:t xml:space="preserve">ESTIMATIVA DAS QUANTIDADES A SEREM CONTRATADAS </w:t>
      </w:r>
    </w:p>
    <w:p w:rsidR="009B714E" w:rsidRDefault="009B714E">
      <w:pPr>
        <w:pBdr>
          <w:top w:val="nil"/>
          <w:left w:val="nil"/>
          <w:bottom w:val="nil"/>
          <w:right w:val="nil"/>
          <w:between w:val="nil"/>
        </w:pBdr>
        <w:ind w:left="644"/>
        <w:jc w:val="both"/>
        <w:rPr>
          <w:rFonts w:ascii="Arial" w:eastAsia="Arial" w:hAnsi="Arial" w:cs="Arial"/>
          <w:b/>
          <w:bCs/>
          <w:color w:val="FF0000"/>
          <w:sz w:val="22"/>
          <w:szCs w:val="22"/>
        </w:rPr>
      </w:pPr>
    </w:p>
    <w:tbl>
      <w:tblPr>
        <w:tblW w:w="52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 w:type="dxa"/>
          <w:right w:w="1" w:type="dxa"/>
        </w:tblCellMar>
        <w:tblLook w:val="0000" w:firstRow="0" w:lastRow="0" w:firstColumn="0" w:lastColumn="0" w:noHBand="0" w:noVBand="0"/>
      </w:tblPr>
      <w:tblGrid>
        <w:gridCol w:w="464"/>
        <w:gridCol w:w="7967"/>
        <w:gridCol w:w="477"/>
        <w:gridCol w:w="636"/>
      </w:tblGrid>
      <w:tr w:rsidR="00B105AD" w:rsidRPr="00B105AD" w:rsidTr="00782FDC">
        <w:trPr>
          <w:jc w:val="center"/>
        </w:trPr>
        <w:tc>
          <w:tcPr>
            <w:tcW w:w="413" w:type="dxa"/>
            <w:shd w:val="clear" w:color="auto" w:fill="F0F0F0"/>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Item</w:t>
            </w:r>
          </w:p>
        </w:tc>
        <w:tc>
          <w:tcPr>
            <w:tcW w:w="7095" w:type="dxa"/>
            <w:shd w:val="clear" w:color="auto" w:fill="F0F0F0"/>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Descrição do Produto</w:t>
            </w:r>
          </w:p>
        </w:tc>
        <w:tc>
          <w:tcPr>
            <w:tcW w:w="425" w:type="dxa"/>
            <w:shd w:val="clear" w:color="auto" w:fill="F0F0F0"/>
          </w:tcPr>
          <w:p w:rsidR="00B105AD" w:rsidRPr="00B105AD" w:rsidRDefault="00B105AD" w:rsidP="00B105AD">
            <w:pPr>
              <w:widowControl w:val="0"/>
              <w:autoSpaceDE w:val="0"/>
              <w:autoSpaceDN w:val="0"/>
              <w:adjustRightInd w:val="0"/>
              <w:rPr>
                <w:rFonts w:ascii="Arial" w:hAnsi="Arial" w:cs="Arial"/>
                <w:sz w:val="20"/>
              </w:rPr>
            </w:pPr>
            <w:proofErr w:type="spellStart"/>
            <w:r w:rsidRPr="00B105AD">
              <w:rPr>
                <w:rFonts w:ascii="Arial" w:hAnsi="Arial" w:cs="Arial"/>
                <w:sz w:val="20"/>
              </w:rPr>
              <w:t>Qte</w:t>
            </w:r>
            <w:proofErr w:type="spellEnd"/>
          </w:p>
        </w:tc>
        <w:tc>
          <w:tcPr>
            <w:tcW w:w="566" w:type="dxa"/>
            <w:shd w:val="clear" w:color="auto" w:fill="F0F0F0"/>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Unid.</w:t>
            </w:r>
          </w:p>
        </w:tc>
      </w:tr>
      <w:tr w:rsidR="00B105AD" w:rsidRPr="00B105AD" w:rsidTr="00782FDC">
        <w:trPr>
          <w:jc w:val="center"/>
        </w:trPr>
        <w:tc>
          <w:tcPr>
            <w:tcW w:w="413" w:type="dxa"/>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1</w:t>
            </w:r>
          </w:p>
        </w:tc>
        <w:tc>
          <w:tcPr>
            <w:tcW w:w="7095" w:type="dxa"/>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 LOCAÇÃO DE TENDA 04X04 M (LOCAÇÃO DE 01 A 03 DIAS)</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 xml:space="preserve"> LOCAÇÃO DE TENDA 04x04 m (locação de 01 a 03 dias)</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Locação, com serviços de montagem e desmontagem inclusos, de tenda com dimensões mínimas de 04 metros por 04 metros, com altura mínima de 3,6 metros (topo).</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 xml:space="preserve"> A estrutura deverá ser do tipo chapéu de bruxa, devendo estar em perfeito estado de conservação e apresentar segurança estrutural adequada.</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 xml:space="preserve">A tenda deverá possuir fechamento lateral em placa de fechamento 2,40 </w:t>
            </w:r>
            <w:proofErr w:type="gramStart"/>
            <w:r w:rsidRPr="00B105AD">
              <w:rPr>
                <w:rFonts w:ascii="Arial" w:hAnsi="Arial" w:cs="Arial"/>
                <w:sz w:val="20"/>
              </w:rPr>
              <w:t>x</w:t>
            </w:r>
            <w:proofErr w:type="gramEnd"/>
            <w:r w:rsidRPr="00B105AD">
              <w:rPr>
                <w:rFonts w:ascii="Arial" w:hAnsi="Arial" w:cs="Arial"/>
                <w:sz w:val="20"/>
              </w:rPr>
              <w:t xml:space="preserve"> 2,20M (LXA), no mínimo, 04 (quatro) lados, um dos lados deve conter abertura para acesso interno e equipado com calha para escoamento de água da chuva.</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O fechamento em placa deverá estar em perfeitas condições de uso e aparência, sem furos, sujeiras excessivas ou ferrugem e pinturas, garantindo boa apresentação visual durante o evento.</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A montagem, fixação e desmontagem da estrutura serão de inteira responsabilidade da contratada, devendo ser realizadas por equipe especializada, assegurando a perfeita fixação, alinhamento e segurança da instalação durante todo o período do evento.</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Todas as despesas referentes à execução dos serviços, incluindo transporte colocado na cidade de Bueno Brandão, MG, estadia, alimentação, encargos trabalhistas, previdenciários, fiscais, tributários e quaisquer outros custos necessários para o cumprimento integral do objeto contratado, correrão por conta exclusiva da contratada, não cabendo à contratante qualquer ônus adicional.</w:t>
            </w:r>
          </w:p>
        </w:tc>
        <w:tc>
          <w:tcPr>
            <w:tcW w:w="425" w:type="dxa"/>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4</w:t>
            </w:r>
          </w:p>
        </w:tc>
        <w:tc>
          <w:tcPr>
            <w:tcW w:w="566" w:type="dxa"/>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SV</w:t>
            </w:r>
          </w:p>
        </w:tc>
      </w:tr>
      <w:tr w:rsidR="00B105AD" w:rsidRPr="00B105AD" w:rsidTr="00782FDC">
        <w:trPr>
          <w:jc w:val="center"/>
        </w:trPr>
        <w:tc>
          <w:tcPr>
            <w:tcW w:w="413" w:type="dxa"/>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2</w:t>
            </w:r>
          </w:p>
        </w:tc>
        <w:tc>
          <w:tcPr>
            <w:tcW w:w="7095" w:type="dxa"/>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LOCAÇÃO DE TENDA 04x04 M (locação de 01 a 03 dias)</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 xml:space="preserve">Locação, com serviços de montagem e desmontagem inclusos, de tenda com dimensões mínimas de 04 metros por 04 metros, com altura mínima de 3,6 </w:t>
            </w:r>
            <w:proofErr w:type="gramStart"/>
            <w:r w:rsidRPr="00B105AD">
              <w:rPr>
                <w:rFonts w:ascii="Arial" w:hAnsi="Arial" w:cs="Arial"/>
                <w:sz w:val="20"/>
              </w:rPr>
              <w:t>metros(</w:t>
            </w:r>
            <w:proofErr w:type="gramEnd"/>
            <w:r w:rsidRPr="00B105AD">
              <w:rPr>
                <w:rFonts w:ascii="Arial" w:hAnsi="Arial" w:cs="Arial"/>
                <w:sz w:val="20"/>
              </w:rPr>
              <w:t xml:space="preserve">topo). A estrutura deverá ser do tipo chapéu de bruxa, devendo estar em perfeito estado de conservação e </w:t>
            </w:r>
            <w:r w:rsidRPr="00B105AD">
              <w:rPr>
                <w:rFonts w:ascii="Arial" w:hAnsi="Arial" w:cs="Arial"/>
                <w:sz w:val="20"/>
              </w:rPr>
              <w:lastRenderedPageBreak/>
              <w:t>apresentar segurança estrutural adequada.</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A tenda deverá possuir fechamento lateral em, no mínimo, 03 (três) lados e equipado com calha para escoamento de água da chuva</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 xml:space="preserve">A lona deverá estar em perfeitas condições de uso e aparência, sem rasgos, furos, sujeiras excessivas ou desbotamento, garantindo boa apresentação visual durante o evento. Deverá ser </w:t>
            </w:r>
            <w:proofErr w:type="spellStart"/>
            <w:r w:rsidRPr="00B105AD">
              <w:rPr>
                <w:rFonts w:ascii="Arial" w:hAnsi="Arial" w:cs="Arial"/>
                <w:sz w:val="20"/>
              </w:rPr>
              <w:t>anti-chamas</w:t>
            </w:r>
            <w:proofErr w:type="spellEnd"/>
            <w:r w:rsidRPr="00B105AD">
              <w:rPr>
                <w:rFonts w:ascii="Arial" w:hAnsi="Arial" w:cs="Arial"/>
                <w:sz w:val="20"/>
              </w:rPr>
              <w:t>, com tratamento contra raios UV e IV, oferecendo proteção térmica e maior durabilidade.</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A montagem, fixação e desmontagem da estrutura serão de inteira responsabilidade da contratada, devendo ser realizadas por equipe especializada, assegurando a perfeita fixação, alinhamento e segurança da instalação durante todo o período do evento.</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Todas as despesas referentes à execução dos serviços, incluindo transporte colocado na cidade de Bueno Brandão, MG, estadia, alimentação, encargos trabalhistas, previdenciários, fiscais, tributários e quaisquer outros custos necessários para o cumprimento integral do objeto contratado, correrão por conta exclusiva da contratada, não cabendo à contratante qualquer ônus adicional.</w:t>
            </w:r>
          </w:p>
        </w:tc>
        <w:tc>
          <w:tcPr>
            <w:tcW w:w="425" w:type="dxa"/>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lastRenderedPageBreak/>
              <w:t>48</w:t>
            </w:r>
          </w:p>
        </w:tc>
        <w:tc>
          <w:tcPr>
            <w:tcW w:w="566" w:type="dxa"/>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SV</w:t>
            </w:r>
          </w:p>
        </w:tc>
      </w:tr>
      <w:tr w:rsidR="00B105AD" w:rsidRPr="00B105AD" w:rsidTr="00782FDC">
        <w:trPr>
          <w:jc w:val="center"/>
        </w:trPr>
        <w:tc>
          <w:tcPr>
            <w:tcW w:w="413" w:type="dxa"/>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3</w:t>
            </w:r>
          </w:p>
        </w:tc>
        <w:tc>
          <w:tcPr>
            <w:tcW w:w="7095" w:type="dxa"/>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LOCAÇÃO DE BANHEIROS EM CONTÊINERES MASCULINO E FEMININO, PARA LOCAÇÃO MÁXIMA DE 03 DIAS.</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 xml:space="preserve">Banheiros em containers módulos sanitários móveis, práticos e higiênicos, desenvolvidos a partir de estruturas de aço galvanizado para uso em ambiente aberto. Deverá possuir instalações hidráulicas (vasos, pias, mictório) e elétricas completas, piso antiderrapante, ventilação natural, e podendo ser ligados à rede de esgoto. </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 xml:space="preserve">Descrição Técnica Detalhada: </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Estrutura: Confeccionados em chapas e perfis de aço galvanizado a fogo de alta resistência, garantindo durabilidade e facilidade na higienização, com cinco vasos sanitários, duas pias, um mictório e um banheiro para deficiente com toda a estrutura (barras de apoio conforme INMETRO), com rampa de acesso e medidas conforme normas técnicas ABNT.</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 xml:space="preserve">Revestimento Interno e Piso: Revestimento em chapa galvanizada ou EPS, com piso </w:t>
            </w:r>
            <w:proofErr w:type="gramStart"/>
            <w:r w:rsidRPr="00B105AD">
              <w:rPr>
                <w:rFonts w:ascii="Arial" w:hAnsi="Arial" w:cs="Arial"/>
                <w:sz w:val="20"/>
              </w:rPr>
              <w:t>emborrachado  antiderrapante</w:t>
            </w:r>
            <w:proofErr w:type="gramEnd"/>
            <w:r w:rsidRPr="00B105AD">
              <w:rPr>
                <w:rFonts w:ascii="Arial" w:hAnsi="Arial" w:cs="Arial"/>
                <w:sz w:val="20"/>
              </w:rPr>
              <w:t>, facilitando a lavagem.</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 xml:space="preserve">        </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Vasos Sanitários: Podem ser de louça ou polietileno, com caixa acoplada ou descarga direta.</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Pias e Lavatórios: Pias individuais.</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Mictórios: Calhas mictório e mictórios individuais em aço inox e cerâmica.</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Hidráulica e Esgoto: Entrada de água por tubulação convencional e saída de esgoto para rede pública.</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Elétrica e Ventilação: Instalação elétrica embutida (tomadas, interruptores, luminárias LED) e ventilação garantida por venezianas fixas.</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 xml:space="preserve">Mobilidade: Projetados para serem içados (com olhais de </w:t>
            </w:r>
            <w:proofErr w:type="spellStart"/>
            <w:r w:rsidRPr="00B105AD">
              <w:rPr>
                <w:rFonts w:ascii="Arial" w:hAnsi="Arial" w:cs="Arial"/>
                <w:sz w:val="20"/>
              </w:rPr>
              <w:t>içamento</w:t>
            </w:r>
            <w:proofErr w:type="spellEnd"/>
            <w:r w:rsidRPr="00B105AD">
              <w:rPr>
                <w:rFonts w:ascii="Arial" w:hAnsi="Arial" w:cs="Arial"/>
                <w:sz w:val="20"/>
              </w:rPr>
              <w:t xml:space="preserve">) e transportados por caminhões </w:t>
            </w:r>
            <w:proofErr w:type="spellStart"/>
            <w:r w:rsidRPr="00B105AD">
              <w:rPr>
                <w:rFonts w:ascii="Arial" w:hAnsi="Arial" w:cs="Arial"/>
                <w:sz w:val="20"/>
              </w:rPr>
              <w:t>Munck</w:t>
            </w:r>
            <w:proofErr w:type="spellEnd"/>
            <w:r w:rsidRPr="00B105AD">
              <w:rPr>
                <w:rFonts w:ascii="Arial" w:hAnsi="Arial" w:cs="Arial"/>
                <w:sz w:val="20"/>
              </w:rPr>
              <w:t>, permitindo montagem rápida.</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Vantagens: Alta resistência, rápida instalação, possibilidade de acoplamento (banheiros Ele/Ela) e fácil higienização.</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 xml:space="preserve">Essas unidades são fundamentais em locais sem infraestrutura sanitária fixa, atendendo normas de segurança e conforto para o público. </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 xml:space="preserve">Não será aceito sanitário com piso ou suporte de madeira. A locação inclui </w:t>
            </w:r>
            <w:proofErr w:type="gramStart"/>
            <w:r w:rsidRPr="00B105AD">
              <w:rPr>
                <w:rFonts w:ascii="Arial" w:hAnsi="Arial" w:cs="Arial"/>
                <w:sz w:val="20"/>
              </w:rPr>
              <w:t>montagem,  desmontagem</w:t>
            </w:r>
            <w:proofErr w:type="gramEnd"/>
            <w:r w:rsidRPr="00B105AD">
              <w:rPr>
                <w:rFonts w:ascii="Arial" w:hAnsi="Arial" w:cs="Arial"/>
                <w:sz w:val="20"/>
              </w:rPr>
              <w:t>, entrega dos equipamentos devidamente higienizados e abastecidos com papel higiênico.</w:t>
            </w:r>
          </w:p>
          <w:p w:rsidR="00B105AD" w:rsidRPr="00B105AD" w:rsidRDefault="00B105AD" w:rsidP="00B105AD">
            <w:pPr>
              <w:widowControl w:val="0"/>
              <w:autoSpaceDE w:val="0"/>
              <w:autoSpaceDN w:val="0"/>
              <w:adjustRightInd w:val="0"/>
              <w:rPr>
                <w:rFonts w:ascii="Arial" w:hAnsi="Arial" w:cs="Arial"/>
                <w:sz w:val="20"/>
              </w:rPr>
            </w:pPr>
            <w:proofErr w:type="spellStart"/>
            <w:r w:rsidRPr="00B105AD">
              <w:rPr>
                <w:rFonts w:ascii="Arial" w:hAnsi="Arial" w:cs="Arial"/>
                <w:sz w:val="20"/>
              </w:rPr>
              <w:t>Obs</w:t>
            </w:r>
            <w:proofErr w:type="spellEnd"/>
            <w:r w:rsidRPr="00B105AD">
              <w:rPr>
                <w:rFonts w:ascii="Arial" w:hAnsi="Arial" w:cs="Arial"/>
                <w:sz w:val="20"/>
              </w:rPr>
              <w:t>: O horário e o local de entrega serão definidos pela secretaria requisitante no momento da emissão da ordem de serviço.</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Todas as despesas referentes à execução dos serviços, incluindo transporte colocado na cidade de Bueno Brandão, MG, estadia, alimentação, encargos trabalhistas, previdenciários, fiscais, tributários e quaisquer outros custos necessários para o cumprimento integral do objeto contratado, correrão por conta exclusiva da contratada, não cabendo à contratante qualquer ônus adicional.</w:t>
            </w:r>
          </w:p>
          <w:p w:rsidR="00B105AD" w:rsidRPr="00B105AD" w:rsidRDefault="00B105AD" w:rsidP="00B105AD">
            <w:pPr>
              <w:widowControl w:val="0"/>
              <w:autoSpaceDE w:val="0"/>
              <w:autoSpaceDN w:val="0"/>
              <w:adjustRightInd w:val="0"/>
              <w:rPr>
                <w:rFonts w:ascii="Arial" w:hAnsi="Arial" w:cs="Arial"/>
                <w:sz w:val="20"/>
              </w:rPr>
            </w:pPr>
          </w:p>
        </w:tc>
        <w:tc>
          <w:tcPr>
            <w:tcW w:w="425" w:type="dxa"/>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26</w:t>
            </w:r>
          </w:p>
        </w:tc>
        <w:tc>
          <w:tcPr>
            <w:tcW w:w="566" w:type="dxa"/>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SV</w:t>
            </w:r>
          </w:p>
        </w:tc>
      </w:tr>
      <w:tr w:rsidR="00B105AD" w:rsidRPr="00B105AD" w:rsidTr="00782FDC">
        <w:trPr>
          <w:jc w:val="center"/>
        </w:trPr>
        <w:tc>
          <w:tcPr>
            <w:tcW w:w="413" w:type="dxa"/>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4</w:t>
            </w:r>
          </w:p>
        </w:tc>
        <w:tc>
          <w:tcPr>
            <w:tcW w:w="7095" w:type="dxa"/>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LOCAÇÃO DE TENDA 04X04 M (LOCAÇÃO DE 01 A 03 DIAS).*.</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lastRenderedPageBreak/>
              <w:t>Locação, com serviços de montagem e desmontagem inclusos, de tenda conjugada com dimensões mínimas de 04 metros por 04 metros, com altura mínima de 3,6 metros (topo). A estrutura deverá ser do tipo chapéu de bruxa, devendo estar em perfeito estado de conservação e apresentar segurança estrutural adequada.</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A tenda deverá possuir fechamento lateral em, placa de fechamento 2,40 x 2,20M (LXA), no mínimo, 01 (um) lado, balcões em madeira com 4 x1</w:t>
            </w:r>
            <w:proofErr w:type="gramStart"/>
            <w:r w:rsidRPr="00B105AD">
              <w:rPr>
                <w:rFonts w:ascii="Arial" w:hAnsi="Arial" w:cs="Arial"/>
                <w:sz w:val="20"/>
              </w:rPr>
              <w:t>M(</w:t>
            </w:r>
            <w:proofErr w:type="gramEnd"/>
            <w:r w:rsidRPr="00B105AD">
              <w:rPr>
                <w:rFonts w:ascii="Arial" w:hAnsi="Arial" w:cs="Arial"/>
                <w:sz w:val="20"/>
              </w:rPr>
              <w:t>LXA) , confeccionado em material resistente, impermeável, de fácil higienização e equipado com calha para escoamento de água da chuva.</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O fechamento em placa deverá estar em perfeitas condições de uso e aparência, sem furos, sujeiras excessivas ou ferrugem, pinturas, garantindo boa apresentação visual durante o evento.</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A montagem, fixação e desmontagem da estrutura serão de inteira responsabilidade da contratada, devendo ser realizadas por equipe especializada, assegurando a perfeita fixação, alinhamento e segurança da instalação durante todo o período do evento.</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Todas as despesas referentes à execução dos serviços, incluindo transporte colocado na cidade de Bueno Brandão, MG, estadia, alimentação, encargos trabalhistas, previdenciários, fiscais, tributários e quaisquer outros custos necessários para o cumprimento integral do objeto contratado, correrão por conta exclusiva da contratada, não cabendo à contratante qualquer ônus adicional.</w:t>
            </w:r>
          </w:p>
        </w:tc>
        <w:tc>
          <w:tcPr>
            <w:tcW w:w="425" w:type="dxa"/>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lastRenderedPageBreak/>
              <w:t>45</w:t>
            </w:r>
          </w:p>
        </w:tc>
        <w:tc>
          <w:tcPr>
            <w:tcW w:w="566" w:type="dxa"/>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SV</w:t>
            </w:r>
          </w:p>
        </w:tc>
      </w:tr>
      <w:tr w:rsidR="00B105AD" w:rsidRPr="00B105AD" w:rsidTr="00782FDC">
        <w:trPr>
          <w:jc w:val="center"/>
        </w:trPr>
        <w:tc>
          <w:tcPr>
            <w:tcW w:w="413" w:type="dxa"/>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5</w:t>
            </w:r>
          </w:p>
        </w:tc>
        <w:tc>
          <w:tcPr>
            <w:tcW w:w="7095" w:type="dxa"/>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LOCAÇÃO DE TENDA 04X04M</w:t>
            </w:r>
            <w:proofErr w:type="gramStart"/>
            <w:r w:rsidRPr="00B105AD">
              <w:rPr>
                <w:rFonts w:ascii="Arial" w:hAnsi="Arial" w:cs="Arial"/>
                <w:sz w:val="20"/>
              </w:rPr>
              <w:t>*.*</w:t>
            </w:r>
            <w:proofErr w:type="gramEnd"/>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Locação, com serviços de montagem e desmontagem inclusos, de tenda com dimensões mínimas de 04 metros por 04 metros, com altura mínima de 3,6 metros (topo). A estrutura deverá ser do tipo chapéu de bruxa, devendo estar em perfeito estado de conservação e apresentar segurança estrutural adequada.</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A tenda deverá possuir fechamento lateral em, no mínimo, 03 (três) lados e equipado com calha para escoamento de água da chuva</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 xml:space="preserve">A lona deverá estar em perfeitas condições de uso e aparência, sem rasgos, furos, sujeiras excessivas ou desbotamento, garantindo boa apresentação visual durante o evento. Deverá ser </w:t>
            </w:r>
            <w:proofErr w:type="spellStart"/>
            <w:r w:rsidRPr="00B105AD">
              <w:rPr>
                <w:rFonts w:ascii="Arial" w:hAnsi="Arial" w:cs="Arial"/>
                <w:sz w:val="20"/>
              </w:rPr>
              <w:t>anti-chamas</w:t>
            </w:r>
            <w:proofErr w:type="spellEnd"/>
            <w:r w:rsidRPr="00B105AD">
              <w:rPr>
                <w:rFonts w:ascii="Arial" w:hAnsi="Arial" w:cs="Arial"/>
                <w:sz w:val="20"/>
              </w:rPr>
              <w:t>, com tratamento contra raios UV e IV, oferecendo proteção térmica e maior durabilidade.</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A montagem, fixação e desmontagem da estrutura serão de inteira responsabilidade da contratada, devendo ser realizadas por equipe especializada, assegurando a perfeita fixação, alinhamento e segurança da instalação durante todo o período do evento.</w:t>
            </w:r>
          </w:p>
          <w:p w:rsidR="00B105AD" w:rsidRPr="00B105AD" w:rsidRDefault="00B105AD" w:rsidP="00B105AD">
            <w:pPr>
              <w:widowControl w:val="0"/>
              <w:autoSpaceDE w:val="0"/>
              <w:autoSpaceDN w:val="0"/>
              <w:adjustRightInd w:val="0"/>
              <w:rPr>
                <w:rFonts w:ascii="Arial" w:hAnsi="Arial" w:cs="Arial"/>
                <w:sz w:val="20"/>
              </w:rPr>
            </w:pPr>
            <w:proofErr w:type="spellStart"/>
            <w:r w:rsidRPr="00B105AD">
              <w:rPr>
                <w:rFonts w:ascii="Arial" w:hAnsi="Arial" w:cs="Arial"/>
                <w:sz w:val="20"/>
              </w:rPr>
              <w:t>Obs</w:t>
            </w:r>
            <w:proofErr w:type="spellEnd"/>
            <w:r w:rsidRPr="00B105AD">
              <w:rPr>
                <w:rFonts w:ascii="Arial" w:hAnsi="Arial" w:cs="Arial"/>
                <w:sz w:val="20"/>
              </w:rPr>
              <w:t>: (Período máximo de locação do serviço: 5 (cinco dias)</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 xml:space="preserve">Todas as despesas referentes à execução dos serviços, incluindo transporte colocado na cidade de Bueno </w:t>
            </w:r>
            <w:proofErr w:type="spellStart"/>
            <w:r w:rsidRPr="00B105AD">
              <w:rPr>
                <w:rFonts w:ascii="Arial" w:hAnsi="Arial" w:cs="Arial"/>
                <w:sz w:val="20"/>
              </w:rPr>
              <w:t>Brandão,MG</w:t>
            </w:r>
            <w:proofErr w:type="spellEnd"/>
            <w:r w:rsidRPr="00B105AD">
              <w:rPr>
                <w:rFonts w:ascii="Arial" w:hAnsi="Arial" w:cs="Arial"/>
                <w:sz w:val="20"/>
              </w:rPr>
              <w:t>, estadia, alimentação, encargos trabalhistas, previdenciários, fiscais, tributários e quaisquer outros custos necessários para o cumprimento integral do objeto contratado, correrão por conta exclusiva da contratada, não cabendo à contratante qualquer ônus adicional.</w:t>
            </w:r>
          </w:p>
        </w:tc>
        <w:tc>
          <w:tcPr>
            <w:tcW w:w="425" w:type="dxa"/>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12</w:t>
            </w:r>
          </w:p>
        </w:tc>
        <w:tc>
          <w:tcPr>
            <w:tcW w:w="566" w:type="dxa"/>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SV</w:t>
            </w:r>
          </w:p>
        </w:tc>
      </w:tr>
      <w:tr w:rsidR="00B105AD" w:rsidRPr="00B105AD" w:rsidTr="00782FDC">
        <w:trPr>
          <w:jc w:val="center"/>
        </w:trPr>
        <w:tc>
          <w:tcPr>
            <w:tcW w:w="413" w:type="dxa"/>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6</w:t>
            </w:r>
          </w:p>
        </w:tc>
        <w:tc>
          <w:tcPr>
            <w:tcW w:w="7095" w:type="dxa"/>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 xml:space="preserve">LOCAÇÃO DE TENDA 06X06 M </w:t>
            </w:r>
            <w:proofErr w:type="gramStart"/>
            <w:r w:rsidRPr="00B105AD">
              <w:rPr>
                <w:rFonts w:ascii="Arial" w:hAnsi="Arial" w:cs="Arial"/>
                <w:sz w:val="20"/>
              </w:rPr>
              <w:t>*.*</w:t>
            </w:r>
            <w:proofErr w:type="gramEnd"/>
            <w:r w:rsidRPr="00B105AD">
              <w:rPr>
                <w:rFonts w:ascii="Arial" w:hAnsi="Arial" w:cs="Arial"/>
                <w:sz w:val="20"/>
              </w:rPr>
              <w:t>,</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Locação, com serviços de montagem e desmontagem inclusos, de tenda conjugada com dimensões mínimas de 06 metros por 06 metros, com altura mínima de 3 metros. A estrutura deverá ser do tipo chapéu de bruxa, devendo estar em perfeito estado de conservação e apresentar segurança estrutural adequada.</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A tenda deverá possuir fechamento lateral em, no mínimo, 03 (três) lados, confeccionado em material resistente, impermeável, de fácil higienização e equipado com calha para escoamento de água da chuva.</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 xml:space="preserve">A lona deverá estar em perfeitas condições de uso e aparência, sem rasgos, furos, sujeiras excessivas ou desbotamento, garantindo boa apresentação visual durante o evento. Deverá ser </w:t>
            </w:r>
            <w:proofErr w:type="spellStart"/>
            <w:r w:rsidRPr="00B105AD">
              <w:rPr>
                <w:rFonts w:ascii="Arial" w:hAnsi="Arial" w:cs="Arial"/>
                <w:sz w:val="20"/>
              </w:rPr>
              <w:t>anti-chamas</w:t>
            </w:r>
            <w:proofErr w:type="spellEnd"/>
            <w:r w:rsidRPr="00B105AD">
              <w:rPr>
                <w:rFonts w:ascii="Arial" w:hAnsi="Arial" w:cs="Arial"/>
                <w:sz w:val="20"/>
              </w:rPr>
              <w:t>, com tratamento contra raios UV e IV, oferecendo proteção térmica e maior durabilidade.</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A montagem, fixação e desmontagem da estrutura serão de inteira responsabilidade da contratada, devendo ser realizadas por equipe especializada, assegurando a perfeita fixação, alinhamento e segurança da instalação durante todo o período do evento.</w:t>
            </w:r>
          </w:p>
          <w:p w:rsidR="00B105AD" w:rsidRPr="00B105AD" w:rsidRDefault="00B105AD" w:rsidP="00B105AD">
            <w:pPr>
              <w:widowControl w:val="0"/>
              <w:autoSpaceDE w:val="0"/>
              <w:autoSpaceDN w:val="0"/>
              <w:adjustRightInd w:val="0"/>
              <w:rPr>
                <w:rFonts w:ascii="Arial" w:hAnsi="Arial" w:cs="Arial"/>
                <w:sz w:val="20"/>
              </w:rPr>
            </w:pPr>
            <w:proofErr w:type="spellStart"/>
            <w:r w:rsidRPr="00B105AD">
              <w:rPr>
                <w:rFonts w:ascii="Arial" w:hAnsi="Arial" w:cs="Arial"/>
                <w:sz w:val="20"/>
              </w:rPr>
              <w:t>Obs</w:t>
            </w:r>
            <w:proofErr w:type="spellEnd"/>
            <w:r w:rsidRPr="00B105AD">
              <w:rPr>
                <w:rFonts w:ascii="Arial" w:hAnsi="Arial" w:cs="Arial"/>
                <w:sz w:val="20"/>
              </w:rPr>
              <w:t>: (Período máximo de locação do serviço: 3 (três dias)</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 xml:space="preserve">Todas as despesas referentes à execução dos serviços, incluindo transporte, estadia, </w:t>
            </w:r>
            <w:r w:rsidRPr="00B105AD">
              <w:rPr>
                <w:rFonts w:ascii="Arial" w:hAnsi="Arial" w:cs="Arial"/>
                <w:sz w:val="20"/>
              </w:rPr>
              <w:lastRenderedPageBreak/>
              <w:t>alimentação, encargos trabalhistas, previdenciários, fiscais, tributários e quaisquer outros custos necessários para o cumprimento integral do objeto contratado, correrão por conta exclusiva da contratada, não cabendo à contratante qualquer ônus adicional.</w:t>
            </w:r>
          </w:p>
        </w:tc>
        <w:tc>
          <w:tcPr>
            <w:tcW w:w="425" w:type="dxa"/>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lastRenderedPageBreak/>
              <w:t>6</w:t>
            </w:r>
          </w:p>
        </w:tc>
        <w:tc>
          <w:tcPr>
            <w:tcW w:w="566" w:type="dxa"/>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SV</w:t>
            </w:r>
          </w:p>
        </w:tc>
      </w:tr>
      <w:tr w:rsidR="00B105AD" w:rsidRPr="00B105AD" w:rsidTr="00782FDC">
        <w:trPr>
          <w:jc w:val="center"/>
        </w:trPr>
        <w:tc>
          <w:tcPr>
            <w:tcW w:w="413" w:type="dxa"/>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7</w:t>
            </w:r>
          </w:p>
        </w:tc>
        <w:tc>
          <w:tcPr>
            <w:tcW w:w="7095" w:type="dxa"/>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LOCAÇÃO DE TENDA 10X10 M (LOCAÇÃO DE 04 A 05 DIAS)</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Locação, com serviços de montagem e desmontagem inclusos, de tenda com dimensões mínimas de 10 metros por 10 metros, com altura mínima de 4 metros. A estrutura deverá ser do tipo chapéu de bruxa, devendo estar em perfeito estado de conservação e apresentar segurança estrutural adequada.</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A tenda deverá possuir fechamento lateral em, no mínimo, 03 (três) lados, confeccionado em material resistente, impermeável, de fácil higienização e equipado com calha para escoamento de água da chuva.</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 xml:space="preserve">A lona deverá estar em perfeitas condições de uso e aparência, sem rasgos, furos, sujeiras excessivas ou desbotamento, garantindo boa apresentação visual durante o evento. Deverá ser </w:t>
            </w:r>
            <w:proofErr w:type="spellStart"/>
            <w:r w:rsidRPr="00B105AD">
              <w:rPr>
                <w:rFonts w:ascii="Arial" w:hAnsi="Arial" w:cs="Arial"/>
                <w:sz w:val="20"/>
              </w:rPr>
              <w:t>anti-chamas</w:t>
            </w:r>
            <w:proofErr w:type="spellEnd"/>
            <w:r w:rsidRPr="00B105AD">
              <w:rPr>
                <w:rFonts w:ascii="Arial" w:hAnsi="Arial" w:cs="Arial"/>
                <w:sz w:val="20"/>
              </w:rPr>
              <w:t>, com tratamento contra raios UV e IV, oferecendo proteção térmica e maior durabilidade.</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A montagem, fixação e desmontagem da estrutura serão de inteira responsabilidade da contratada, devendo ser realizadas por equipe especializada, assegurando a perfeita fixação, alinhamento e segurança da instalação durante todo o período do evento.</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Todas as despesas referentes à execução dos serviços, incluindo transporte colocado na cidade de Bueno Brandão, MG, estadia, alimentação, encargos trabalhistas, previdenciários, fiscais, tributários e quaisquer outros custos necessários para o cumprimento integral do objeto contratado, correrão por conta exclusiva da contratada, não cabendo à contratante qualquer ônus adicional.</w:t>
            </w:r>
          </w:p>
        </w:tc>
        <w:tc>
          <w:tcPr>
            <w:tcW w:w="425" w:type="dxa"/>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8</w:t>
            </w:r>
          </w:p>
        </w:tc>
        <w:tc>
          <w:tcPr>
            <w:tcW w:w="566" w:type="dxa"/>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SV</w:t>
            </w:r>
          </w:p>
        </w:tc>
      </w:tr>
      <w:tr w:rsidR="00B105AD" w:rsidRPr="00B105AD" w:rsidTr="00782FDC">
        <w:trPr>
          <w:jc w:val="center"/>
        </w:trPr>
        <w:tc>
          <w:tcPr>
            <w:tcW w:w="413" w:type="dxa"/>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8</w:t>
            </w:r>
          </w:p>
        </w:tc>
        <w:tc>
          <w:tcPr>
            <w:tcW w:w="7095" w:type="dxa"/>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LOCAÇÃO DE TENDA 10x10m (locação máxima para 03 dias)</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Locação, com serviços de montagem e desmontagem inclusos, de tenda com dimensões mínimas de 10 metros por 10 metros, com altura mínima de 4 metros. A estrutura deverá ser do tipo chapéu de bruxa, devendo estar em perfeito estado de conservação e apresentar segurança estrutural adequada.</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A tenda deverá possuir fechamento lateral em, no mínimo, 03 (três) lados, confeccionado em material resistente, impermeável, de fácil higienização e equipado com calha para escoamento de água da chuva.</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 xml:space="preserve">A lona deverá estar em perfeitas condições de uso e aparência, sem rasgos, furos, sujeiras excessivas ou desbotamento, garantindo boa apresentação visual durante o evento. Deverá ser </w:t>
            </w:r>
            <w:proofErr w:type="spellStart"/>
            <w:r w:rsidRPr="00B105AD">
              <w:rPr>
                <w:rFonts w:ascii="Arial" w:hAnsi="Arial" w:cs="Arial"/>
                <w:sz w:val="20"/>
              </w:rPr>
              <w:t>anti-chamas</w:t>
            </w:r>
            <w:proofErr w:type="spellEnd"/>
            <w:r w:rsidRPr="00B105AD">
              <w:rPr>
                <w:rFonts w:ascii="Arial" w:hAnsi="Arial" w:cs="Arial"/>
                <w:sz w:val="20"/>
              </w:rPr>
              <w:t>, com tratamento contra raios UV e IV, oferecendo proteção térmica e maior durabilidade.</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A montagem, fixação e desmontagem da estrutura serão de inteira responsabilidade da contratada, devendo ser realizadas por equipe especializada, assegurando a perfeita fixação, alinhamento e segurança da instalação durante todo o período do evento.</w:t>
            </w:r>
          </w:p>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Todas as despesas referentes à execução dos serviços, incluindo transporte colocado na cidade de Bueno Brandão, MG, estadia, alimentação, encargos trabalhistas, previdenciários, fiscais, tributários e quaisquer outros custos necessários para o cumprimento integral do objeto contratado, correrão por conta exclusiva da contratada, não cabendo à contratante qualquer ônus adicional.</w:t>
            </w:r>
          </w:p>
        </w:tc>
        <w:tc>
          <w:tcPr>
            <w:tcW w:w="425" w:type="dxa"/>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61</w:t>
            </w:r>
          </w:p>
        </w:tc>
        <w:tc>
          <w:tcPr>
            <w:tcW w:w="566" w:type="dxa"/>
          </w:tcPr>
          <w:p w:rsidR="00B105AD" w:rsidRPr="00B105AD" w:rsidRDefault="00B105AD" w:rsidP="00B105AD">
            <w:pPr>
              <w:widowControl w:val="0"/>
              <w:autoSpaceDE w:val="0"/>
              <w:autoSpaceDN w:val="0"/>
              <w:adjustRightInd w:val="0"/>
              <w:rPr>
                <w:rFonts w:ascii="Arial" w:hAnsi="Arial" w:cs="Arial"/>
                <w:sz w:val="20"/>
              </w:rPr>
            </w:pPr>
            <w:r w:rsidRPr="00B105AD">
              <w:rPr>
                <w:rFonts w:ascii="Arial" w:hAnsi="Arial" w:cs="Arial"/>
                <w:sz w:val="20"/>
              </w:rPr>
              <w:t>SV</w:t>
            </w:r>
          </w:p>
        </w:tc>
      </w:tr>
    </w:tbl>
    <w:p w:rsidR="009B714E" w:rsidRDefault="00B50269">
      <w:pPr>
        <w:widowControl w:val="0"/>
        <w:spacing w:before="240" w:after="240" w:line="360" w:lineRule="auto"/>
        <w:ind w:firstLine="720"/>
        <w:jc w:val="both"/>
        <w:rPr>
          <w:rFonts w:ascii="Arial" w:eastAsia="Arial" w:hAnsi="Arial" w:cs="Arial"/>
          <w:sz w:val="22"/>
          <w:szCs w:val="22"/>
        </w:rPr>
      </w:pPr>
      <w:r>
        <w:rPr>
          <w:rFonts w:ascii="Arial" w:eastAsia="Arial" w:hAnsi="Arial" w:cs="Arial"/>
          <w:sz w:val="22"/>
          <w:szCs w:val="22"/>
        </w:rPr>
        <w:t>Não será previamente definida a quantidade de banheiros containers e tendas por evento, uma vez que essa definição dependerá de fatores como a grandiosidade da programação, o porte do público esperado, as condições climáticas, a dimensão do espaço físico utilizado e a realização de eventos simultâneos na região.</w:t>
      </w:r>
    </w:p>
    <w:p w:rsidR="009B714E" w:rsidRDefault="00B50269">
      <w:pPr>
        <w:widowControl w:val="0"/>
        <w:spacing w:before="240" w:after="240" w:line="360" w:lineRule="auto"/>
        <w:ind w:firstLine="720"/>
        <w:jc w:val="both"/>
        <w:rPr>
          <w:rFonts w:ascii="Arial" w:eastAsia="Arial" w:hAnsi="Arial" w:cs="Arial"/>
          <w:sz w:val="22"/>
          <w:szCs w:val="22"/>
        </w:rPr>
      </w:pPr>
      <w:r>
        <w:rPr>
          <w:rFonts w:ascii="Arial" w:eastAsia="Arial" w:hAnsi="Arial" w:cs="Arial"/>
          <w:sz w:val="22"/>
          <w:szCs w:val="22"/>
        </w:rPr>
        <w:t>Essa estratégia garante flexibilidade na execução contratual, permitindo dimensionar os serviços conforme as necessidades específicas de cada evento, otimizando recursos públicos e assegurando a adequada infraestrutura operacional para o público participante.</w:t>
      </w:r>
    </w:p>
    <w:p w:rsidR="009B714E" w:rsidRDefault="00B50269">
      <w:pPr>
        <w:numPr>
          <w:ilvl w:val="0"/>
          <w:numId w:val="2"/>
        </w:numPr>
        <w:pBdr>
          <w:top w:val="nil"/>
          <w:left w:val="nil"/>
          <w:bottom w:val="nil"/>
          <w:right w:val="nil"/>
          <w:between w:val="nil"/>
        </w:pBdr>
        <w:ind w:left="567" w:hanging="644"/>
        <w:jc w:val="both"/>
        <w:rPr>
          <w:rFonts w:ascii="Arial" w:eastAsia="Arial" w:hAnsi="Arial" w:cs="Arial"/>
          <w:b/>
          <w:bCs/>
          <w:sz w:val="22"/>
          <w:szCs w:val="22"/>
        </w:rPr>
      </w:pPr>
      <w:r>
        <w:rPr>
          <w:rFonts w:ascii="Arial" w:eastAsia="Arial" w:hAnsi="Arial" w:cs="Arial"/>
          <w:b/>
          <w:bCs/>
          <w:sz w:val="22"/>
          <w:szCs w:val="22"/>
        </w:rPr>
        <w:lastRenderedPageBreak/>
        <w:t xml:space="preserve">ESTIMATIVA DO VALOR DA CONTRATAÇÃO </w:t>
      </w:r>
    </w:p>
    <w:p w:rsidR="009B714E" w:rsidRDefault="009B714E">
      <w:pPr>
        <w:pBdr>
          <w:top w:val="nil"/>
          <w:left w:val="nil"/>
          <w:bottom w:val="nil"/>
          <w:right w:val="nil"/>
          <w:between w:val="nil"/>
        </w:pBdr>
        <w:ind w:left="284"/>
        <w:jc w:val="both"/>
        <w:rPr>
          <w:rFonts w:ascii="Arial" w:eastAsia="Arial" w:hAnsi="Arial" w:cs="Arial"/>
          <w:b/>
          <w:bCs/>
          <w:color w:val="000000"/>
          <w:sz w:val="22"/>
          <w:szCs w:val="22"/>
        </w:rPr>
      </w:pPr>
    </w:p>
    <w:p w:rsidR="009B714E" w:rsidRDefault="00B50269">
      <w:pPr>
        <w:pBdr>
          <w:top w:val="nil"/>
          <w:left w:val="nil"/>
          <w:bottom w:val="nil"/>
          <w:right w:val="nil"/>
          <w:between w:val="nil"/>
        </w:pBdr>
        <w:spacing w:line="360" w:lineRule="auto"/>
        <w:ind w:left="284" w:firstLine="680"/>
        <w:jc w:val="both"/>
        <w:rPr>
          <w:rFonts w:ascii="Arial" w:eastAsia="Arial" w:hAnsi="Arial" w:cs="Arial"/>
          <w:sz w:val="22"/>
          <w:szCs w:val="22"/>
        </w:rPr>
      </w:pPr>
      <w:r>
        <w:rPr>
          <w:rFonts w:ascii="Arial" w:eastAsia="Arial" w:hAnsi="Arial" w:cs="Arial"/>
          <w:sz w:val="22"/>
          <w:szCs w:val="22"/>
        </w:rPr>
        <w:t>A estimativa do valor,</w:t>
      </w:r>
      <w:r>
        <w:rPr>
          <w:rFonts w:ascii="Arial" w:eastAsia="Arial" w:hAnsi="Arial" w:cs="Arial"/>
          <w:color w:val="FF0000"/>
          <w:sz w:val="22"/>
          <w:szCs w:val="22"/>
        </w:rPr>
        <w:t xml:space="preserve"> </w:t>
      </w:r>
      <w:r>
        <w:rPr>
          <w:rFonts w:ascii="Arial" w:eastAsia="Arial" w:hAnsi="Arial" w:cs="Arial"/>
          <w:sz w:val="22"/>
          <w:szCs w:val="22"/>
        </w:rPr>
        <w:t>se faz com base na contratação anterior.</w:t>
      </w:r>
    </w:p>
    <w:tbl>
      <w:tblPr>
        <w:tblStyle w:val="af1"/>
        <w:tblpPr w:leftFromText="141" w:rightFromText="141" w:vertAnchor="text" w:tblpX="-89" w:tblpY="186"/>
        <w:tblW w:w="919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95"/>
      </w:tblGrid>
      <w:tr w:rsidR="009B714E">
        <w:trPr>
          <w:trHeight w:val="390"/>
        </w:trPr>
        <w:tc>
          <w:tcPr>
            <w:tcW w:w="9195" w:type="dxa"/>
          </w:tcPr>
          <w:p w:rsidR="009B714E" w:rsidRDefault="00B50269">
            <w:pPr>
              <w:spacing w:line="360" w:lineRule="auto"/>
              <w:rPr>
                <w:rFonts w:ascii="Arial" w:eastAsia="Arial" w:hAnsi="Arial" w:cs="Arial"/>
                <w:sz w:val="22"/>
                <w:szCs w:val="22"/>
              </w:rPr>
            </w:pPr>
            <w:r>
              <w:rPr>
                <w:rFonts w:ascii="Arial" w:eastAsia="Arial" w:hAnsi="Arial" w:cs="Arial"/>
                <w:sz w:val="22"/>
                <w:szCs w:val="22"/>
              </w:rPr>
              <w:t>Locação de banheiro container – SV – valor estimado: R$ 10.500,00</w:t>
            </w:r>
          </w:p>
        </w:tc>
      </w:tr>
      <w:tr w:rsidR="009B714E">
        <w:trPr>
          <w:trHeight w:val="192"/>
        </w:trPr>
        <w:tc>
          <w:tcPr>
            <w:tcW w:w="9195" w:type="dxa"/>
          </w:tcPr>
          <w:p w:rsidR="009B714E" w:rsidRDefault="00B50269">
            <w:pPr>
              <w:spacing w:line="360" w:lineRule="auto"/>
              <w:rPr>
                <w:rFonts w:ascii="Arial" w:eastAsia="Arial" w:hAnsi="Arial" w:cs="Arial"/>
                <w:color w:val="000000"/>
                <w:sz w:val="22"/>
                <w:szCs w:val="22"/>
              </w:rPr>
            </w:pPr>
            <w:r>
              <w:rPr>
                <w:rFonts w:ascii="Arial" w:eastAsia="Arial" w:hAnsi="Arial" w:cs="Arial"/>
                <w:sz w:val="22"/>
                <w:szCs w:val="22"/>
              </w:rPr>
              <w:t>Locação de tenda 10x10 (1 a 3 dias) – SV – valor estimado: R$ 4.000,00</w:t>
            </w:r>
          </w:p>
        </w:tc>
      </w:tr>
      <w:tr w:rsidR="009B714E">
        <w:trPr>
          <w:trHeight w:val="139"/>
        </w:trPr>
        <w:tc>
          <w:tcPr>
            <w:tcW w:w="9195" w:type="dxa"/>
          </w:tcPr>
          <w:p w:rsidR="009B714E" w:rsidRDefault="00B50269">
            <w:pPr>
              <w:spacing w:line="360" w:lineRule="auto"/>
              <w:rPr>
                <w:rFonts w:ascii="Arial" w:eastAsia="Arial" w:hAnsi="Arial" w:cs="Arial"/>
                <w:color w:val="000000"/>
                <w:sz w:val="22"/>
                <w:szCs w:val="22"/>
              </w:rPr>
            </w:pPr>
            <w:r>
              <w:rPr>
                <w:rFonts w:ascii="Arial" w:eastAsia="Arial" w:hAnsi="Arial" w:cs="Arial"/>
                <w:sz w:val="22"/>
                <w:szCs w:val="22"/>
              </w:rPr>
              <w:t>Locação de tenda 10x10 (4 a 5 dias) – SV – valor estimado: R$ 6.000,00</w:t>
            </w:r>
          </w:p>
        </w:tc>
      </w:tr>
      <w:tr w:rsidR="009B714E">
        <w:trPr>
          <w:trHeight w:val="139"/>
        </w:trPr>
        <w:tc>
          <w:tcPr>
            <w:tcW w:w="9195" w:type="dxa"/>
          </w:tcPr>
          <w:p w:rsidR="009B714E" w:rsidRDefault="00B50269">
            <w:pPr>
              <w:spacing w:line="360" w:lineRule="auto"/>
              <w:rPr>
                <w:rFonts w:ascii="Arial" w:eastAsia="Arial" w:hAnsi="Arial" w:cs="Arial"/>
                <w:b/>
                <w:bCs/>
                <w:sz w:val="22"/>
                <w:szCs w:val="22"/>
              </w:rPr>
            </w:pPr>
            <w:r>
              <w:rPr>
                <w:rFonts w:ascii="Arial" w:eastAsia="Arial" w:hAnsi="Arial" w:cs="Arial"/>
                <w:sz w:val="22"/>
                <w:szCs w:val="22"/>
              </w:rPr>
              <w:t>Locação de tenda 04x04 - fechamento placa( a 3 dias)R$ 1.000,00</w:t>
            </w:r>
          </w:p>
        </w:tc>
      </w:tr>
      <w:tr w:rsidR="009B714E">
        <w:trPr>
          <w:trHeight w:val="139"/>
        </w:trPr>
        <w:tc>
          <w:tcPr>
            <w:tcW w:w="9195" w:type="dxa"/>
          </w:tcPr>
          <w:p w:rsidR="009B714E" w:rsidRDefault="00B50269">
            <w:pPr>
              <w:spacing w:line="360" w:lineRule="auto"/>
              <w:rPr>
                <w:rFonts w:ascii="Arial" w:eastAsia="Arial" w:hAnsi="Arial" w:cs="Arial"/>
                <w:b/>
                <w:bCs/>
                <w:sz w:val="22"/>
                <w:szCs w:val="22"/>
              </w:rPr>
            </w:pPr>
            <w:r>
              <w:rPr>
                <w:rFonts w:ascii="Arial" w:eastAsia="Arial" w:hAnsi="Arial" w:cs="Arial"/>
                <w:sz w:val="22"/>
                <w:szCs w:val="22"/>
              </w:rPr>
              <w:t>Locação de tenda 04x04 - fechamento e balcão (1 a 3 dias)R$ 1.500,00</w:t>
            </w:r>
          </w:p>
        </w:tc>
      </w:tr>
      <w:tr w:rsidR="009B714E">
        <w:trPr>
          <w:trHeight w:val="139"/>
        </w:trPr>
        <w:tc>
          <w:tcPr>
            <w:tcW w:w="9195" w:type="dxa"/>
          </w:tcPr>
          <w:p w:rsidR="009B714E" w:rsidRDefault="00B50269">
            <w:pPr>
              <w:spacing w:line="360" w:lineRule="auto"/>
              <w:rPr>
                <w:rFonts w:ascii="Arial" w:eastAsia="Arial" w:hAnsi="Arial" w:cs="Arial"/>
                <w:b/>
                <w:bCs/>
                <w:sz w:val="22"/>
                <w:szCs w:val="22"/>
              </w:rPr>
            </w:pPr>
            <w:r>
              <w:rPr>
                <w:rFonts w:ascii="Arial" w:eastAsia="Arial" w:hAnsi="Arial" w:cs="Arial"/>
                <w:sz w:val="22"/>
                <w:szCs w:val="22"/>
              </w:rPr>
              <w:t>Locação de tenda 04x04 - fechamento lona(1 a 3 dias)R$ 1.000,00</w:t>
            </w:r>
          </w:p>
        </w:tc>
      </w:tr>
      <w:tr w:rsidR="009B714E">
        <w:trPr>
          <w:trHeight w:val="139"/>
        </w:trPr>
        <w:tc>
          <w:tcPr>
            <w:tcW w:w="9195" w:type="dxa"/>
          </w:tcPr>
          <w:p w:rsidR="009B714E" w:rsidRDefault="00B50269">
            <w:pPr>
              <w:spacing w:line="360" w:lineRule="auto"/>
              <w:rPr>
                <w:rFonts w:ascii="Arial" w:eastAsia="Arial" w:hAnsi="Arial" w:cs="Arial"/>
                <w:sz w:val="22"/>
                <w:szCs w:val="22"/>
              </w:rPr>
            </w:pPr>
            <w:r>
              <w:rPr>
                <w:rFonts w:ascii="Arial" w:eastAsia="Arial" w:hAnsi="Arial" w:cs="Arial"/>
                <w:sz w:val="20"/>
                <w:szCs w:val="20"/>
              </w:rPr>
              <w:t>L</w:t>
            </w:r>
            <w:r>
              <w:rPr>
                <w:rFonts w:ascii="Arial" w:eastAsia="Arial" w:hAnsi="Arial" w:cs="Arial"/>
                <w:sz w:val="22"/>
                <w:szCs w:val="22"/>
              </w:rPr>
              <w:t>ocação de tenda</w:t>
            </w:r>
            <w:r>
              <w:rPr>
                <w:rFonts w:ascii="Arial" w:eastAsia="Arial" w:hAnsi="Arial" w:cs="Arial"/>
                <w:sz w:val="20"/>
                <w:szCs w:val="20"/>
              </w:rPr>
              <w:t xml:space="preserve"> 04x04M</w:t>
            </w:r>
            <w:r>
              <w:rPr>
                <w:rFonts w:ascii="Arial" w:eastAsia="Arial" w:hAnsi="Arial" w:cs="Arial"/>
                <w:b/>
                <w:bCs/>
                <w:sz w:val="20"/>
                <w:szCs w:val="20"/>
              </w:rPr>
              <w:t xml:space="preserve"> - </w:t>
            </w:r>
            <w:r>
              <w:rPr>
                <w:rFonts w:ascii="Arial" w:eastAsia="Arial" w:hAnsi="Arial" w:cs="Arial"/>
                <w:sz w:val="22"/>
                <w:szCs w:val="22"/>
              </w:rPr>
              <w:t xml:space="preserve"> fechamento lona </w:t>
            </w:r>
            <w:r>
              <w:rPr>
                <w:rFonts w:ascii="Arial" w:eastAsia="Arial" w:hAnsi="Arial" w:cs="Arial"/>
                <w:b/>
                <w:bCs/>
                <w:sz w:val="20"/>
                <w:szCs w:val="20"/>
              </w:rPr>
              <w:t>(</w:t>
            </w:r>
            <w:r>
              <w:rPr>
                <w:rFonts w:ascii="Arial" w:eastAsia="Arial" w:hAnsi="Arial" w:cs="Arial"/>
                <w:sz w:val="20"/>
                <w:szCs w:val="20"/>
              </w:rPr>
              <w:t>5 cinco dias) R$ 1.500,00</w:t>
            </w:r>
          </w:p>
        </w:tc>
      </w:tr>
      <w:tr w:rsidR="009B714E">
        <w:trPr>
          <w:trHeight w:val="139"/>
        </w:trPr>
        <w:tc>
          <w:tcPr>
            <w:tcW w:w="9195" w:type="dxa"/>
          </w:tcPr>
          <w:p w:rsidR="009B714E" w:rsidRDefault="00B50269">
            <w:pPr>
              <w:spacing w:line="360" w:lineRule="auto"/>
              <w:rPr>
                <w:rFonts w:ascii="Arial" w:eastAsia="Arial" w:hAnsi="Arial" w:cs="Arial"/>
                <w:sz w:val="22"/>
                <w:szCs w:val="22"/>
              </w:rPr>
            </w:pPr>
            <w:bookmarkStart w:id="0" w:name="_GoBack"/>
            <w:bookmarkEnd w:id="0"/>
            <w:r>
              <w:rPr>
                <w:rFonts w:ascii="Arial" w:eastAsia="Arial" w:hAnsi="Arial" w:cs="Arial"/>
                <w:sz w:val="20"/>
                <w:szCs w:val="20"/>
              </w:rPr>
              <w:t>L</w:t>
            </w:r>
            <w:r>
              <w:rPr>
                <w:rFonts w:ascii="Arial" w:eastAsia="Arial" w:hAnsi="Arial" w:cs="Arial"/>
                <w:sz w:val="22"/>
                <w:szCs w:val="22"/>
              </w:rPr>
              <w:t>ocação de tenda</w:t>
            </w:r>
            <w:r>
              <w:rPr>
                <w:rFonts w:ascii="Arial" w:eastAsia="Arial" w:hAnsi="Arial" w:cs="Arial"/>
                <w:sz w:val="20"/>
                <w:szCs w:val="20"/>
              </w:rPr>
              <w:t xml:space="preserve"> 06x06M</w:t>
            </w:r>
            <w:r>
              <w:rPr>
                <w:rFonts w:ascii="Arial" w:eastAsia="Arial" w:hAnsi="Arial" w:cs="Arial"/>
                <w:b/>
                <w:bCs/>
                <w:sz w:val="20"/>
                <w:szCs w:val="20"/>
              </w:rPr>
              <w:t xml:space="preserve"> - </w:t>
            </w:r>
            <w:r>
              <w:rPr>
                <w:rFonts w:ascii="Arial" w:eastAsia="Arial" w:hAnsi="Arial" w:cs="Arial"/>
                <w:sz w:val="22"/>
                <w:szCs w:val="22"/>
              </w:rPr>
              <w:t xml:space="preserve"> fechamento lona </w:t>
            </w:r>
            <w:r>
              <w:rPr>
                <w:rFonts w:ascii="Arial" w:eastAsia="Arial" w:hAnsi="Arial" w:cs="Arial"/>
                <w:sz w:val="20"/>
                <w:szCs w:val="20"/>
              </w:rPr>
              <w:t>(1 a</w:t>
            </w:r>
            <w:r>
              <w:rPr>
                <w:rFonts w:ascii="Arial" w:eastAsia="Arial" w:hAnsi="Arial" w:cs="Arial"/>
                <w:b/>
                <w:bCs/>
                <w:sz w:val="20"/>
                <w:szCs w:val="20"/>
              </w:rPr>
              <w:t xml:space="preserve"> </w:t>
            </w:r>
            <w:r>
              <w:rPr>
                <w:rFonts w:ascii="Arial" w:eastAsia="Arial" w:hAnsi="Arial" w:cs="Arial"/>
                <w:sz w:val="20"/>
                <w:szCs w:val="20"/>
              </w:rPr>
              <w:t>3 cinco dias) R$ 2.500,00</w:t>
            </w:r>
          </w:p>
        </w:tc>
      </w:tr>
    </w:tbl>
    <w:p w:rsidR="009B714E" w:rsidRDefault="00B50269">
      <w:pPr>
        <w:pBdr>
          <w:top w:val="nil"/>
          <w:left w:val="nil"/>
          <w:bottom w:val="nil"/>
          <w:right w:val="nil"/>
          <w:between w:val="nil"/>
        </w:pBdr>
        <w:spacing w:before="240" w:line="360" w:lineRule="auto"/>
        <w:rPr>
          <w:rFonts w:ascii="Arial" w:eastAsia="Arial" w:hAnsi="Arial" w:cs="Arial"/>
          <w:b/>
          <w:bCs/>
          <w:sz w:val="22"/>
          <w:szCs w:val="22"/>
        </w:rPr>
      </w:pPr>
      <w:r>
        <w:rPr>
          <w:rFonts w:ascii="Arial" w:eastAsia="Arial" w:hAnsi="Arial" w:cs="Arial"/>
          <w:b/>
          <w:bCs/>
          <w:sz w:val="22"/>
          <w:szCs w:val="22"/>
        </w:rPr>
        <w:t>Valor estimado: R$ 28.000,00</w:t>
      </w:r>
    </w:p>
    <w:p w:rsidR="009B714E" w:rsidRDefault="00B50269">
      <w:pPr>
        <w:numPr>
          <w:ilvl w:val="0"/>
          <w:numId w:val="2"/>
        </w:numPr>
        <w:pBdr>
          <w:top w:val="nil"/>
          <w:left w:val="nil"/>
          <w:bottom w:val="nil"/>
          <w:right w:val="nil"/>
          <w:between w:val="nil"/>
        </w:pBdr>
        <w:spacing w:before="240" w:line="360" w:lineRule="auto"/>
        <w:ind w:left="645" w:hanging="645"/>
        <w:jc w:val="both"/>
        <w:rPr>
          <w:rFonts w:ascii="Arial" w:eastAsia="Arial" w:hAnsi="Arial" w:cs="Arial"/>
          <w:sz w:val="22"/>
          <w:szCs w:val="22"/>
        </w:rPr>
      </w:pPr>
      <w:r>
        <w:rPr>
          <w:rFonts w:ascii="Arial" w:eastAsia="Arial" w:hAnsi="Arial" w:cs="Arial"/>
          <w:b/>
          <w:bCs/>
          <w:color w:val="000000"/>
          <w:sz w:val="22"/>
          <w:szCs w:val="22"/>
        </w:rPr>
        <w:t>JUSTIFICATIVA PARA O PARCELAMENTO OU NÃO DA SOLUÇÃO</w:t>
      </w:r>
    </w:p>
    <w:p w:rsidR="009B714E" w:rsidRDefault="00B50269">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A contratação será realizada pelo menor preço para cada item do serviço, sendo empresas distintas responsáveis pelas locações de tenda e banheiros container, inclusive adaptados para pessoas com deficiência (PCD), abrangendo transporte, montagem, instalação, operação, manutenção e desmontagem/retirada nos eventos previstos. Essa abordagem garante maior agilidade, controle e responsabilidade operacional, assegurando que os eventos ocorram de maneira eficiente, segura e com qualidade.</w:t>
      </w:r>
    </w:p>
    <w:p w:rsidR="009B714E" w:rsidRDefault="00B50269">
      <w:pPr>
        <w:numPr>
          <w:ilvl w:val="0"/>
          <w:numId w:val="2"/>
        </w:numPr>
        <w:pBdr>
          <w:top w:val="nil"/>
          <w:left w:val="nil"/>
          <w:bottom w:val="nil"/>
          <w:right w:val="nil"/>
          <w:between w:val="nil"/>
        </w:pBdr>
        <w:spacing w:before="240"/>
        <w:ind w:hanging="644"/>
        <w:jc w:val="both"/>
        <w:rPr>
          <w:rFonts w:ascii="Arial" w:eastAsia="Arial" w:hAnsi="Arial" w:cs="Arial"/>
          <w:sz w:val="22"/>
          <w:szCs w:val="22"/>
        </w:rPr>
      </w:pPr>
      <w:r>
        <w:rPr>
          <w:rFonts w:ascii="Arial" w:eastAsia="Arial" w:hAnsi="Arial" w:cs="Arial"/>
          <w:b/>
          <w:bCs/>
          <w:color w:val="000000"/>
          <w:sz w:val="22"/>
          <w:szCs w:val="22"/>
        </w:rPr>
        <w:t xml:space="preserve">CONTRATAÇÕES CORRELATAS E/OU INTERDEPENDENTES </w:t>
      </w:r>
    </w:p>
    <w:p w:rsidR="009B714E" w:rsidRDefault="00B50269">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As contratações correlatas e/ou interdependentes estão diretamente relacionadas às características específicas de cada evento promovido pelo Município e à complexidade da estrutura necessária para sua realização.</w:t>
      </w:r>
    </w:p>
    <w:p w:rsidR="009B714E" w:rsidRDefault="00B50269">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No que se refere à locação de tendas, podem estar interligadas contratações como locação de pisos modulares, tablados, mobiliário (mesas e cadeiras), climatização, iluminação interna, além de serviços de organização e apoio logístico, dependendo da finalidade do espaço a ser estruturado.</w:t>
      </w:r>
    </w:p>
    <w:p w:rsidR="009B714E" w:rsidRDefault="00B50269">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 xml:space="preserve">Em relação à locação de banheiros tipo contêiner, inclusive unidades adaptadas para Pessoas com Deficiência (PCD), poderão existir contratações correlatas como fornecimento de insumos (papel higiênico, sabonete, papel toalha), contratação de equipe para limpeza e </w:t>
      </w:r>
      <w:r>
        <w:rPr>
          <w:rFonts w:ascii="Arial" w:eastAsia="Arial" w:hAnsi="Arial" w:cs="Arial"/>
          <w:sz w:val="22"/>
          <w:szCs w:val="22"/>
        </w:rPr>
        <w:lastRenderedPageBreak/>
        <w:t>manutenção durante o evento — considerando que tais serviços não estarão incluídos na locação, além de apoio logístico para posicionamento adequado das unidades, nivelamento do solo quando necessário e eventual ligação provisória às redes de água e energia, caso aplicável.</w:t>
      </w:r>
    </w:p>
    <w:p w:rsidR="009B714E" w:rsidRDefault="00B50269">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Também podem ser necessárias contratações complementares nas áreas de segurança, brigadistas, controle de acesso, serviços médicos de emergência, limpeza geral do evento e gestão de resíduos sólidos, garantindo o pleno funcionamento da infraestrutura e o atendimento às normas de segurança, acessibilidade e vigilância sanitária.</w:t>
      </w:r>
    </w:p>
    <w:p w:rsidR="009B714E" w:rsidRDefault="00B50269">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A interdependência dessas contratações será definida conforme o porte, local e natureza de cada evento, cabendo à Secretaria organizadora o planejamento e a coordenação integrada das soluções, assegurando que todas as estruturas e serviços atuem de forma harmônica e eficiente.</w:t>
      </w:r>
    </w:p>
    <w:p w:rsidR="009B714E" w:rsidRDefault="00B50269">
      <w:pPr>
        <w:numPr>
          <w:ilvl w:val="0"/>
          <w:numId w:val="2"/>
        </w:numPr>
        <w:pBdr>
          <w:top w:val="nil"/>
          <w:left w:val="nil"/>
          <w:bottom w:val="nil"/>
          <w:right w:val="nil"/>
          <w:between w:val="nil"/>
        </w:pBdr>
        <w:spacing w:before="240" w:line="360" w:lineRule="auto"/>
        <w:ind w:hanging="360"/>
        <w:jc w:val="both"/>
        <w:rPr>
          <w:rFonts w:ascii="Arial" w:eastAsia="Arial" w:hAnsi="Arial" w:cs="Arial"/>
          <w:sz w:val="22"/>
          <w:szCs w:val="22"/>
        </w:rPr>
      </w:pPr>
      <w:r>
        <w:rPr>
          <w:rFonts w:ascii="Arial" w:eastAsia="Arial" w:hAnsi="Arial" w:cs="Arial"/>
          <w:b/>
          <w:bCs/>
          <w:color w:val="000000"/>
          <w:sz w:val="22"/>
          <w:szCs w:val="22"/>
        </w:rPr>
        <w:t xml:space="preserve">RESULTADOS PRETENDIDOS </w:t>
      </w:r>
    </w:p>
    <w:p w:rsidR="009B714E" w:rsidRDefault="00B50269">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A locação de tendas busca proporcionar organização dos espaços, proteção contra intempéries e melhores condições de acomodação para o público, autoridades, equipes de apoio e atividades complementares. A estrutura adequada permite maior conforto, segurança e continuidade da programação, mesmo diante de variações climáticas.</w:t>
      </w:r>
    </w:p>
    <w:p w:rsidR="009B714E" w:rsidRDefault="00B50269">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A locação de banheiros tipo contêiner, inclusive unidades adaptadas para Pessoas com Deficiência (PCD), visa assegurar condições adequadas de acessibilidade, dignidade e atendimento ao público durante os eventos. A contratação por registro de preços possibilita dimensionar a quantidade de unidades conforme a estimativa de público, garantindo atendimento adequado às normas vigentes. Ressalta-se que a limpeza e o fornecimento de insumos serão organizados pela Administração Municipal, conforme planejamento específico de cada evento.</w:t>
      </w:r>
    </w:p>
    <w:p w:rsidR="009B714E" w:rsidRDefault="00B50269">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De forma integrada, a solução contribui para o planejamento eficiente, a padronização da infraestrutura, o controle operacional e a otimização dos recursos públicos, assegurando que os eventos ocorram de maneira organizada, segura e com qualidade, atendendo às expectativas da população e às necessidades institucionais.</w:t>
      </w:r>
    </w:p>
    <w:p w:rsidR="009B714E" w:rsidRDefault="00B50269">
      <w:pPr>
        <w:numPr>
          <w:ilvl w:val="0"/>
          <w:numId w:val="2"/>
        </w:numPr>
        <w:pBdr>
          <w:top w:val="nil"/>
          <w:left w:val="nil"/>
          <w:bottom w:val="nil"/>
          <w:right w:val="nil"/>
          <w:between w:val="nil"/>
        </w:pBdr>
        <w:spacing w:before="240" w:line="360" w:lineRule="auto"/>
        <w:ind w:left="-142" w:firstLine="426"/>
        <w:jc w:val="both"/>
        <w:rPr>
          <w:rFonts w:ascii="Arial" w:eastAsia="Arial" w:hAnsi="Arial" w:cs="Arial"/>
          <w:b/>
          <w:bCs/>
          <w:sz w:val="22"/>
          <w:szCs w:val="22"/>
        </w:rPr>
      </w:pPr>
      <w:r>
        <w:rPr>
          <w:rFonts w:ascii="Arial" w:eastAsia="Arial" w:hAnsi="Arial" w:cs="Arial"/>
          <w:b/>
          <w:bCs/>
          <w:color w:val="000000"/>
          <w:sz w:val="22"/>
          <w:szCs w:val="22"/>
        </w:rPr>
        <w:t xml:space="preserve">PROVIDÊNCIAS A SEREM ADOTADAS </w:t>
      </w:r>
    </w:p>
    <w:p w:rsidR="009B714E" w:rsidRDefault="00B50269">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lastRenderedPageBreak/>
        <w:t>Serão adotadas as medidas necessárias para garantir a contratação eficiente e a execução adequada dos serviços de locação de tendas e banheiros tipo contêiner, incluindo unidades adaptadas para PCD.</w:t>
      </w:r>
    </w:p>
    <w:p w:rsidR="009B714E" w:rsidRDefault="00B50269">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Para as tendas, serão estabelecidos quantitativos, dimensões e locais de instalação, considerando o público estimado, a finalidade de cada espaço e as condições climáticas previstas.</w:t>
      </w:r>
    </w:p>
    <w:p w:rsidR="009B714E" w:rsidRDefault="00B50269">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Para os banheiros tipo contêiner, serão definidos quantitativos e posicionamento estratégico, assegurando acessibilidade e adequada distribuição no espaço do evento. A Administração organizará equipe própria ou contratada para limpeza e reposição de insumos durante a realização das atividades.</w:t>
      </w:r>
    </w:p>
    <w:p w:rsidR="009B714E" w:rsidRDefault="00B50269">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A contratação ocorrerá por meio do Sistema de Registro de Preços, com fornecedores qualificados, responsáveis pelo transporte, montagem, instalação e desmontagem das estruturas. Caberá à Secretaria organizadora a fiscalização dos serviços e a integração com as demais contratações necessárias ao evento, garantindo execução com segurança, eficiência e conformidade normativa.</w:t>
      </w:r>
    </w:p>
    <w:p w:rsidR="009B714E" w:rsidRDefault="00B50269">
      <w:pPr>
        <w:numPr>
          <w:ilvl w:val="0"/>
          <w:numId w:val="2"/>
        </w:numPr>
        <w:pBdr>
          <w:top w:val="nil"/>
          <w:left w:val="nil"/>
          <w:bottom w:val="nil"/>
          <w:right w:val="nil"/>
          <w:between w:val="nil"/>
        </w:pBdr>
        <w:spacing w:before="240" w:line="360" w:lineRule="auto"/>
        <w:ind w:hanging="360"/>
        <w:jc w:val="both"/>
        <w:rPr>
          <w:rFonts w:ascii="Arial" w:eastAsia="Arial" w:hAnsi="Arial" w:cs="Arial"/>
          <w:b/>
          <w:bCs/>
          <w:sz w:val="22"/>
          <w:szCs w:val="22"/>
        </w:rPr>
      </w:pPr>
      <w:r>
        <w:rPr>
          <w:rFonts w:ascii="Arial" w:eastAsia="Arial" w:hAnsi="Arial" w:cs="Arial"/>
          <w:b/>
          <w:bCs/>
          <w:color w:val="000000"/>
          <w:sz w:val="22"/>
          <w:szCs w:val="22"/>
        </w:rPr>
        <w:t>POSSÍVEIS IMPACTOS AMBIENTAIS</w:t>
      </w:r>
    </w:p>
    <w:p w:rsidR="009B714E" w:rsidRDefault="00B50269">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A realização de eventos com instalação de tendas e banheiros tipo contêiner pode gerar impactos ambientais pontuais, como compactação do solo, geração de resíduos sólidos, consumo de energia elétrica e aumento temporário na circulação de pessoas e veículos nas áreas utilizadas.</w:t>
      </w:r>
    </w:p>
    <w:p w:rsidR="009B714E" w:rsidRDefault="00B50269">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No caso dos banheiros tipo contêiner, poderá haver geração de efluentes sanitários, os quais deverão ter destinação ambientalmente adequada, conforme legislação vigente e responsabilidade definida contratualmente.</w:t>
      </w:r>
    </w:p>
    <w:p w:rsidR="009B714E" w:rsidRDefault="00B50269">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Para mitigar possíveis impactos, serão adotadas medidas como planejamento prévio do posicionamento das estruturas para evitar danos desnecessários ao solo e à vegetação, organização da coleta e destinação adequada dos resíduos sólidos, uso racional de energia elétrica e acompanhamento da destinação correta dos efluentes sanitários.</w:t>
      </w:r>
    </w:p>
    <w:p w:rsidR="009B714E" w:rsidRDefault="00B50269">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As estruturas serão instaladas de forma temporária, com desmontagem ao término dos eventos, buscando restabelecer as condições originais do espaço utilizado.</w:t>
      </w:r>
    </w:p>
    <w:p w:rsidR="009B714E" w:rsidRDefault="00B50269">
      <w:pPr>
        <w:numPr>
          <w:ilvl w:val="0"/>
          <w:numId w:val="2"/>
        </w:numPr>
        <w:pBdr>
          <w:top w:val="nil"/>
          <w:left w:val="nil"/>
          <w:bottom w:val="nil"/>
          <w:right w:val="nil"/>
          <w:between w:val="nil"/>
        </w:pBdr>
        <w:spacing w:line="360" w:lineRule="auto"/>
        <w:ind w:hanging="359"/>
        <w:jc w:val="both"/>
        <w:rPr>
          <w:rFonts w:ascii="Arial" w:eastAsia="Arial" w:hAnsi="Arial" w:cs="Arial"/>
          <w:b/>
          <w:bCs/>
          <w:sz w:val="22"/>
          <w:szCs w:val="22"/>
        </w:rPr>
      </w:pPr>
      <w:r>
        <w:rPr>
          <w:rFonts w:ascii="Arial" w:eastAsia="Arial" w:hAnsi="Arial" w:cs="Arial"/>
          <w:b/>
          <w:bCs/>
          <w:color w:val="000000"/>
          <w:sz w:val="22"/>
          <w:szCs w:val="22"/>
        </w:rPr>
        <w:lastRenderedPageBreak/>
        <w:t xml:space="preserve">DECLARAÇÃO DE VIABILIDADE </w:t>
      </w:r>
    </w:p>
    <w:p w:rsidR="009B714E" w:rsidRDefault="00B50269">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Declaramos, para os devidos fins, que a contratação de serviços de locação de tendas e banheiros tipo contêiner, inclusive unidades adaptadas para Pessoas com Deficiência (PCD), é viável e adequada para atender às demandas dos eventos promovidos pelo Município ao longo do exercício.</w:t>
      </w:r>
    </w:p>
    <w:p w:rsidR="009B714E" w:rsidRDefault="00B50269">
      <w:pPr>
        <w:spacing w:before="240" w:after="240" w:line="360" w:lineRule="auto"/>
        <w:ind w:firstLine="720"/>
        <w:jc w:val="both"/>
        <w:rPr>
          <w:rFonts w:ascii="Arial" w:eastAsia="Arial" w:hAnsi="Arial" w:cs="Arial"/>
          <w:sz w:val="22"/>
          <w:szCs w:val="22"/>
        </w:rPr>
      </w:pPr>
      <w:r>
        <w:rPr>
          <w:rFonts w:ascii="Arial" w:eastAsia="Arial" w:hAnsi="Arial" w:cs="Arial"/>
          <w:sz w:val="22"/>
          <w:szCs w:val="22"/>
        </w:rPr>
        <w:t>A opção pela locação, por meio do Sistema de Registro de Preços, justifica-se pela maior economicidade, flexibilidade e eficiência operacional, evitando elevados custos com aquisição, manutenção, armazenamento e gestão permanente de estruturas que possuem utilização sazonal.</w:t>
      </w:r>
    </w:p>
    <w:p w:rsidR="009B714E" w:rsidRDefault="00B50269">
      <w:pPr>
        <w:spacing w:before="240" w:after="240" w:line="360" w:lineRule="auto"/>
        <w:ind w:firstLine="720"/>
        <w:jc w:val="both"/>
        <w:rPr>
          <w:rFonts w:ascii="Arial" w:eastAsia="Arial" w:hAnsi="Arial" w:cs="Arial"/>
          <w:color w:val="000000"/>
        </w:rPr>
      </w:pPr>
      <w:r>
        <w:rPr>
          <w:rFonts w:ascii="Arial" w:eastAsia="Arial" w:hAnsi="Arial" w:cs="Arial"/>
          <w:sz w:val="22"/>
          <w:szCs w:val="22"/>
        </w:rPr>
        <w:t>Conclui-se que a solução proposta é financeiramente, tecnicamente e operacionalmente viável, atendendo ao interesse público e observando os princípios da legalidade, eficiência, economicidade e planejamento que regem a Administração Pública.</w:t>
      </w:r>
    </w:p>
    <w:p w:rsidR="009B714E" w:rsidRDefault="009B714E">
      <w:pPr>
        <w:rPr>
          <w:rFonts w:ascii="Arial" w:eastAsia="Arial" w:hAnsi="Arial" w:cs="Arial"/>
          <w:color w:val="000000"/>
        </w:rPr>
      </w:pPr>
    </w:p>
    <w:p w:rsidR="009B714E" w:rsidRDefault="00B50269">
      <w:pPr>
        <w:rPr>
          <w:rFonts w:ascii="Arial" w:eastAsia="Arial" w:hAnsi="Arial" w:cs="Arial"/>
          <w:color w:val="000000"/>
          <w:sz w:val="22"/>
          <w:szCs w:val="22"/>
        </w:rPr>
      </w:pPr>
      <w:r>
        <w:rPr>
          <w:rFonts w:ascii="Arial" w:eastAsia="Arial" w:hAnsi="Arial" w:cs="Arial"/>
          <w:color w:val="000000"/>
          <w:sz w:val="22"/>
          <w:szCs w:val="22"/>
        </w:rPr>
        <w:t>Bueno Brandão,</w:t>
      </w:r>
      <w:r>
        <w:rPr>
          <w:rFonts w:ascii="Arial" w:eastAsia="Arial" w:hAnsi="Arial" w:cs="Arial"/>
          <w:sz w:val="22"/>
          <w:szCs w:val="22"/>
        </w:rPr>
        <w:t xml:space="preserve"> 10</w:t>
      </w:r>
      <w:r>
        <w:rPr>
          <w:rFonts w:ascii="Arial" w:eastAsia="Arial" w:hAnsi="Arial" w:cs="Arial"/>
          <w:color w:val="000000"/>
          <w:sz w:val="22"/>
          <w:szCs w:val="22"/>
        </w:rPr>
        <w:t xml:space="preserve"> de </w:t>
      </w:r>
      <w:r>
        <w:rPr>
          <w:rFonts w:ascii="Arial" w:eastAsia="Arial" w:hAnsi="Arial" w:cs="Arial"/>
          <w:sz w:val="22"/>
          <w:szCs w:val="22"/>
        </w:rPr>
        <w:t>março</w:t>
      </w:r>
      <w:r>
        <w:rPr>
          <w:rFonts w:ascii="Arial" w:eastAsia="Arial" w:hAnsi="Arial" w:cs="Arial"/>
          <w:color w:val="000000"/>
          <w:sz w:val="22"/>
          <w:szCs w:val="22"/>
        </w:rPr>
        <w:t xml:space="preserve"> de 202</w:t>
      </w:r>
      <w:r>
        <w:rPr>
          <w:rFonts w:ascii="Arial" w:eastAsia="Arial" w:hAnsi="Arial" w:cs="Arial"/>
          <w:sz w:val="22"/>
          <w:szCs w:val="22"/>
        </w:rPr>
        <w:t>6</w:t>
      </w:r>
      <w:r>
        <w:rPr>
          <w:rFonts w:ascii="Arial" w:eastAsia="Arial" w:hAnsi="Arial" w:cs="Arial"/>
          <w:color w:val="000000"/>
          <w:sz w:val="22"/>
          <w:szCs w:val="22"/>
        </w:rPr>
        <w:t>.</w:t>
      </w:r>
    </w:p>
    <w:p w:rsidR="009B714E" w:rsidRDefault="009B714E">
      <w:pPr>
        <w:rPr>
          <w:rFonts w:ascii="Arial" w:eastAsia="Arial" w:hAnsi="Arial" w:cs="Arial"/>
          <w:color w:val="FF0000"/>
          <w:sz w:val="22"/>
          <w:szCs w:val="22"/>
        </w:rPr>
      </w:pPr>
    </w:p>
    <w:p w:rsidR="009B714E" w:rsidRDefault="009B714E">
      <w:pPr>
        <w:rPr>
          <w:rFonts w:ascii="Arial" w:eastAsia="Arial" w:hAnsi="Arial" w:cs="Arial"/>
          <w:color w:val="FF0000"/>
          <w:sz w:val="22"/>
          <w:szCs w:val="22"/>
        </w:rPr>
      </w:pPr>
    </w:p>
    <w:p w:rsidR="009B714E" w:rsidRDefault="009B714E">
      <w:pPr>
        <w:rPr>
          <w:rFonts w:ascii="Arial" w:eastAsia="Arial" w:hAnsi="Arial" w:cs="Arial"/>
          <w:color w:val="FF0000"/>
          <w:sz w:val="22"/>
          <w:szCs w:val="22"/>
        </w:rPr>
      </w:pPr>
    </w:p>
    <w:p w:rsidR="009B714E" w:rsidRDefault="009B714E">
      <w:pPr>
        <w:rPr>
          <w:rFonts w:ascii="Arial" w:eastAsia="Arial" w:hAnsi="Arial" w:cs="Arial"/>
          <w:color w:val="FF0000"/>
          <w:sz w:val="22"/>
          <w:szCs w:val="22"/>
        </w:rPr>
      </w:pPr>
    </w:p>
    <w:p w:rsidR="009B714E" w:rsidRDefault="009B714E">
      <w:pPr>
        <w:rPr>
          <w:rFonts w:ascii="Arial" w:eastAsia="Arial" w:hAnsi="Arial" w:cs="Arial"/>
          <w:color w:val="FF0000"/>
          <w:sz w:val="22"/>
          <w:szCs w:val="22"/>
        </w:rPr>
      </w:pPr>
    </w:p>
    <w:p w:rsidR="009B714E" w:rsidRPr="00B105AD" w:rsidRDefault="00B50269">
      <w:pPr>
        <w:jc w:val="center"/>
        <w:rPr>
          <w:rFonts w:ascii="Arial" w:eastAsia="Arial" w:hAnsi="Arial" w:cs="Arial"/>
          <w:b/>
          <w:bCs/>
          <w:sz w:val="22"/>
          <w:szCs w:val="22"/>
        </w:rPr>
      </w:pPr>
      <w:r w:rsidRPr="00B105AD">
        <w:rPr>
          <w:rFonts w:ascii="Arial" w:eastAsia="Arial" w:hAnsi="Arial" w:cs="Arial"/>
          <w:b/>
          <w:bCs/>
          <w:sz w:val="22"/>
          <w:szCs w:val="22"/>
        </w:rPr>
        <w:t xml:space="preserve">Nome: </w:t>
      </w:r>
      <w:r w:rsidR="00B105AD" w:rsidRPr="00B105AD">
        <w:rPr>
          <w:rFonts w:ascii="Arial" w:eastAsia="Arial" w:hAnsi="Arial" w:cs="Arial"/>
        </w:rPr>
        <w:t>Roberta Suzi Marques</w:t>
      </w:r>
    </w:p>
    <w:p w:rsidR="009B714E" w:rsidRPr="00B105AD" w:rsidRDefault="00B50269">
      <w:pPr>
        <w:jc w:val="center"/>
        <w:rPr>
          <w:rFonts w:ascii="Arial" w:eastAsia="Arial" w:hAnsi="Arial" w:cs="Arial"/>
          <w:sz w:val="22"/>
          <w:szCs w:val="22"/>
        </w:rPr>
      </w:pPr>
      <w:r w:rsidRPr="00B105AD">
        <w:rPr>
          <w:rFonts w:ascii="Arial" w:eastAsia="Arial" w:hAnsi="Arial" w:cs="Arial"/>
          <w:b/>
          <w:bCs/>
          <w:sz w:val="22"/>
          <w:szCs w:val="22"/>
        </w:rPr>
        <w:t xml:space="preserve">Cargo: </w:t>
      </w:r>
      <w:r w:rsidR="00B105AD" w:rsidRPr="00B105AD">
        <w:rPr>
          <w:rFonts w:ascii="Arial" w:eastAsia="Arial" w:hAnsi="Arial" w:cs="Arial"/>
          <w:sz w:val="22"/>
          <w:szCs w:val="22"/>
        </w:rPr>
        <w:t>Chefe de Cultura</w:t>
      </w:r>
    </w:p>
    <w:p w:rsidR="009B714E" w:rsidRPr="00B105AD" w:rsidRDefault="00B50269">
      <w:pPr>
        <w:jc w:val="center"/>
        <w:rPr>
          <w:rFonts w:ascii="Arial" w:eastAsia="Arial" w:hAnsi="Arial" w:cs="Arial"/>
          <w:sz w:val="22"/>
          <w:szCs w:val="22"/>
        </w:rPr>
      </w:pPr>
      <w:r w:rsidRPr="00B105AD">
        <w:rPr>
          <w:rFonts w:ascii="Arial" w:eastAsia="Arial" w:hAnsi="Arial" w:cs="Arial"/>
          <w:b/>
          <w:bCs/>
          <w:sz w:val="22"/>
          <w:szCs w:val="22"/>
        </w:rPr>
        <w:t xml:space="preserve">Matrícula: </w:t>
      </w:r>
      <w:r w:rsidRPr="00B105AD">
        <w:rPr>
          <w:rFonts w:ascii="Arial" w:eastAsia="Arial" w:hAnsi="Arial" w:cs="Arial"/>
          <w:sz w:val="22"/>
          <w:szCs w:val="22"/>
        </w:rPr>
        <w:t>38</w:t>
      </w:r>
      <w:r w:rsidR="00B105AD" w:rsidRPr="00B105AD">
        <w:rPr>
          <w:rFonts w:ascii="Arial" w:eastAsia="Arial" w:hAnsi="Arial" w:cs="Arial"/>
          <w:sz w:val="22"/>
          <w:szCs w:val="22"/>
        </w:rPr>
        <w:t>90</w:t>
      </w:r>
    </w:p>
    <w:p w:rsidR="009B714E" w:rsidRDefault="009B714E">
      <w:pPr>
        <w:rPr>
          <w:rFonts w:ascii="Arial" w:eastAsia="Arial" w:hAnsi="Arial" w:cs="Arial"/>
          <w:color w:val="FF0000"/>
          <w:sz w:val="22"/>
          <w:szCs w:val="22"/>
        </w:rPr>
      </w:pPr>
    </w:p>
    <w:p w:rsidR="009B714E" w:rsidRDefault="00B50269">
      <w:pPr>
        <w:pBdr>
          <w:top w:val="single" w:sz="4" w:space="1" w:color="000000"/>
          <w:left w:val="single" w:sz="4" w:space="4" w:color="000000"/>
          <w:bottom w:val="single" w:sz="4" w:space="1" w:color="000000"/>
          <w:right w:val="single" w:sz="4" w:space="4" w:color="000000"/>
        </w:pBdr>
        <w:jc w:val="both"/>
        <w:rPr>
          <w:rFonts w:ascii="Arial" w:eastAsia="Arial" w:hAnsi="Arial" w:cs="Arial"/>
          <w:color w:val="FF0000"/>
          <w:sz w:val="22"/>
          <w:szCs w:val="22"/>
        </w:rPr>
      </w:pPr>
      <w:r>
        <w:rPr>
          <w:rFonts w:ascii="Arial" w:eastAsia="Arial" w:hAnsi="Arial" w:cs="Arial"/>
          <w:color w:val="000000"/>
          <w:sz w:val="22"/>
          <w:szCs w:val="22"/>
        </w:rPr>
        <w:t>APROVO ESTE ESTUDO TÉCNICO PRELIMINAR E DETERMINO O INÍCIO DA IMEDIATA ELABORAÇÃO DO (S) RESPECTIVO (S) TERMO (S) DE REFERÊNCIA (S)</w:t>
      </w:r>
    </w:p>
    <w:p w:rsidR="009B714E" w:rsidRDefault="009B714E">
      <w:pPr>
        <w:pBdr>
          <w:top w:val="single" w:sz="4" w:space="1" w:color="000000"/>
          <w:left w:val="single" w:sz="4" w:space="4" w:color="000000"/>
          <w:bottom w:val="single" w:sz="4" w:space="1" w:color="000000"/>
          <w:right w:val="single" w:sz="4" w:space="4" w:color="000000"/>
        </w:pBdr>
        <w:rPr>
          <w:rFonts w:ascii="Arial" w:eastAsia="Arial" w:hAnsi="Arial" w:cs="Arial"/>
          <w:color w:val="FF0000"/>
          <w:sz w:val="22"/>
          <w:szCs w:val="22"/>
        </w:rPr>
      </w:pPr>
    </w:p>
    <w:p w:rsidR="009B714E" w:rsidRDefault="00B50269">
      <w:pPr>
        <w:pBdr>
          <w:top w:val="single" w:sz="4" w:space="1" w:color="000000"/>
          <w:left w:val="single" w:sz="4" w:space="4" w:color="000000"/>
          <w:bottom w:val="single" w:sz="4" w:space="1" w:color="000000"/>
          <w:right w:val="single" w:sz="4" w:space="4" w:color="000000"/>
        </w:pBdr>
        <w:jc w:val="center"/>
        <w:rPr>
          <w:rFonts w:ascii="Arial" w:eastAsia="Arial" w:hAnsi="Arial" w:cs="Arial"/>
          <w:color w:val="000000"/>
          <w:sz w:val="22"/>
          <w:szCs w:val="22"/>
        </w:rPr>
      </w:pPr>
      <w:r>
        <w:rPr>
          <w:rFonts w:ascii="Arial" w:eastAsia="Arial" w:hAnsi="Arial" w:cs="Arial"/>
          <w:color w:val="000000"/>
          <w:sz w:val="22"/>
          <w:szCs w:val="22"/>
        </w:rPr>
        <w:t xml:space="preserve">Bueno Brandão, </w:t>
      </w:r>
      <w:r>
        <w:rPr>
          <w:rFonts w:ascii="Arial" w:eastAsia="Arial" w:hAnsi="Arial" w:cs="Arial"/>
          <w:sz w:val="22"/>
          <w:szCs w:val="22"/>
        </w:rPr>
        <w:t>10 de março de 2026.</w:t>
      </w:r>
    </w:p>
    <w:p w:rsidR="009B714E" w:rsidRDefault="009B714E">
      <w:pPr>
        <w:pBdr>
          <w:top w:val="single" w:sz="4" w:space="1" w:color="000000"/>
          <w:left w:val="single" w:sz="4" w:space="4" w:color="000000"/>
          <w:bottom w:val="single" w:sz="4" w:space="1" w:color="000000"/>
          <w:right w:val="single" w:sz="4" w:space="4" w:color="000000"/>
        </w:pBdr>
        <w:jc w:val="center"/>
        <w:rPr>
          <w:rFonts w:ascii="Arial" w:eastAsia="Arial" w:hAnsi="Arial" w:cs="Arial"/>
          <w:color w:val="000000"/>
          <w:sz w:val="22"/>
          <w:szCs w:val="22"/>
        </w:rPr>
      </w:pPr>
    </w:p>
    <w:p w:rsidR="009B714E" w:rsidRDefault="009B714E">
      <w:pPr>
        <w:pBdr>
          <w:top w:val="single" w:sz="4" w:space="1" w:color="000000"/>
          <w:left w:val="single" w:sz="4" w:space="4" w:color="000000"/>
          <w:bottom w:val="single" w:sz="4" w:space="1" w:color="000000"/>
          <w:right w:val="single" w:sz="4" w:space="4" w:color="000000"/>
        </w:pBdr>
        <w:jc w:val="center"/>
        <w:rPr>
          <w:rFonts w:ascii="Arial" w:eastAsia="Arial" w:hAnsi="Arial" w:cs="Arial"/>
          <w:color w:val="FF0000"/>
          <w:sz w:val="22"/>
          <w:szCs w:val="22"/>
        </w:rPr>
      </w:pPr>
    </w:p>
    <w:p w:rsidR="009B714E" w:rsidRDefault="009B714E">
      <w:pPr>
        <w:pBdr>
          <w:top w:val="single" w:sz="4" w:space="1" w:color="000000"/>
          <w:left w:val="single" w:sz="4" w:space="4" w:color="000000"/>
          <w:bottom w:val="single" w:sz="4" w:space="1" w:color="000000"/>
          <w:right w:val="single" w:sz="4" w:space="4" w:color="000000"/>
        </w:pBdr>
        <w:jc w:val="center"/>
        <w:rPr>
          <w:rFonts w:ascii="Arial" w:eastAsia="Arial" w:hAnsi="Arial" w:cs="Arial"/>
          <w:color w:val="FF0000"/>
          <w:sz w:val="22"/>
          <w:szCs w:val="22"/>
        </w:rPr>
      </w:pPr>
    </w:p>
    <w:p w:rsidR="009B714E" w:rsidRDefault="009B714E">
      <w:pPr>
        <w:pBdr>
          <w:top w:val="single" w:sz="4" w:space="1" w:color="000000"/>
          <w:left w:val="single" w:sz="4" w:space="4" w:color="000000"/>
          <w:bottom w:val="single" w:sz="4" w:space="1" w:color="000000"/>
          <w:right w:val="single" w:sz="4" w:space="4" w:color="000000"/>
        </w:pBdr>
        <w:jc w:val="center"/>
        <w:rPr>
          <w:rFonts w:ascii="Arial" w:eastAsia="Arial" w:hAnsi="Arial" w:cs="Arial"/>
          <w:color w:val="FF0000"/>
          <w:sz w:val="22"/>
          <w:szCs w:val="22"/>
        </w:rPr>
      </w:pPr>
    </w:p>
    <w:p w:rsidR="009B714E" w:rsidRDefault="009B714E">
      <w:pPr>
        <w:pBdr>
          <w:top w:val="single" w:sz="4" w:space="1" w:color="000000"/>
          <w:left w:val="single" w:sz="4" w:space="4" w:color="000000"/>
          <w:bottom w:val="single" w:sz="4" w:space="1" w:color="000000"/>
          <w:right w:val="single" w:sz="4" w:space="4" w:color="000000"/>
        </w:pBdr>
        <w:jc w:val="center"/>
        <w:rPr>
          <w:rFonts w:ascii="Arial" w:eastAsia="Arial" w:hAnsi="Arial" w:cs="Arial"/>
          <w:color w:val="FF0000"/>
          <w:sz w:val="22"/>
          <w:szCs w:val="22"/>
        </w:rPr>
      </w:pPr>
    </w:p>
    <w:p w:rsidR="009B714E" w:rsidRDefault="009B714E">
      <w:pPr>
        <w:pBdr>
          <w:top w:val="single" w:sz="4" w:space="1" w:color="000000"/>
          <w:left w:val="single" w:sz="4" w:space="4" w:color="000000"/>
          <w:bottom w:val="single" w:sz="4" w:space="1" w:color="000000"/>
          <w:right w:val="single" w:sz="4" w:space="4" w:color="000000"/>
        </w:pBdr>
        <w:jc w:val="center"/>
        <w:rPr>
          <w:rFonts w:ascii="Arial" w:eastAsia="Arial" w:hAnsi="Arial" w:cs="Arial"/>
          <w:color w:val="FF0000"/>
          <w:sz w:val="22"/>
          <w:szCs w:val="22"/>
        </w:rPr>
      </w:pPr>
    </w:p>
    <w:p w:rsidR="009B714E" w:rsidRDefault="00B50269">
      <w:pPr>
        <w:pBdr>
          <w:top w:val="single" w:sz="4" w:space="1" w:color="000000"/>
          <w:left w:val="single" w:sz="4" w:space="4" w:color="000000"/>
          <w:bottom w:val="single" w:sz="4" w:space="1" w:color="000000"/>
          <w:right w:val="single" w:sz="4" w:space="4" w:color="000000"/>
        </w:pBdr>
        <w:jc w:val="center"/>
        <w:rPr>
          <w:rFonts w:ascii="Arial" w:eastAsia="Arial" w:hAnsi="Arial" w:cs="Arial"/>
          <w:b/>
          <w:bCs/>
          <w:color w:val="000000"/>
          <w:sz w:val="22"/>
          <w:szCs w:val="22"/>
        </w:rPr>
      </w:pPr>
      <w:r>
        <w:rPr>
          <w:rFonts w:ascii="Arial" w:eastAsia="Arial" w:hAnsi="Arial" w:cs="Arial"/>
          <w:b/>
          <w:bCs/>
          <w:sz w:val="22"/>
          <w:szCs w:val="22"/>
        </w:rPr>
        <w:t xml:space="preserve">Beatriz de Oliveira </w:t>
      </w:r>
      <w:r>
        <w:rPr>
          <w:rFonts w:ascii="Arial" w:eastAsia="Arial" w:hAnsi="Arial" w:cs="Arial"/>
          <w:b/>
          <w:bCs/>
          <w:color w:val="000000"/>
          <w:sz w:val="22"/>
          <w:szCs w:val="22"/>
        </w:rPr>
        <w:t>- CIENTE</w:t>
      </w:r>
    </w:p>
    <w:p w:rsidR="009B714E" w:rsidRDefault="00B50269">
      <w:pPr>
        <w:pBdr>
          <w:top w:val="single" w:sz="4" w:space="1" w:color="000000"/>
          <w:left w:val="single" w:sz="4" w:space="4" w:color="000000"/>
          <w:bottom w:val="single" w:sz="4" w:space="1" w:color="000000"/>
          <w:right w:val="single" w:sz="4" w:space="4" w:color="000000"/>
        </w:pBdr>
        <w:jc w:val="center"/>
        <w:rPr>
          <w:rFonts w:ascii="Arial" w:eastAsia="Arial" w:hAnsi="Arial" w:cs="Arial"/>
          <w:b/>
          <w:bCs/>
          <w:color w:val="000000"/>
          <w:sz w:val="22"/>
          <w:szCs w:val="22"/>
        </w:rPr>
      </w:pPr>
      <w:r>
        <w:rPr>
          <w:rFonts w:ascii="Arial" w:eastAsia="Arial" w:hAnsi="Arial" w:cs="Arial"/>
          <w:b/>
          <w:bCs/>
          <w:sz w:val="22"/>
          <w:szCs w:val="22"/>
        </w:rPr>
        <w:t>Secretária de Cultura</w:t>
      </w:r>
    </w:p>
    <w:p w:rsidR="009B714E" w:rsidRDefault="009B714E">
      <w:pPr>
        <w:pBdr>
          <w:top w:val="single" w:sz="4" w:space="1" w:color="000000"/>
          <w:left w:val="single" w:sz="4" w:space="4" w:color="000000"/>
          <w:bottom w:val="single" w:sz="4" w:space="1" w:color="000000"/>
          <w:right w:val="single" w:sz="4" w:space="4" w:color="000000"/>
        </w:pBdr>
        <w:jc w:val="center"/>
        <w:rPr>
          <w:rFonts w:ascii="Arial" w:eastAsia="Arial" w:hAnsi="Arial" w:cs="Arial"/>
          <w:i/>
          <w:iCs/>
          <w:color w:val="000000"/>
          <w:sz w:val="22"/>
          <w:szCs w:val="22"/>
        </w:rPr>
      </w:pPr>
    </w:p>
    <w:sectPr w:rsidR="009B714E">
      <w:headerReference w:type="default" r:id="rId8"/>
      <w:footerReference w:type="even" r:id="rId9"/>
      <w:footerReference w:type="default" r:id="rId10"/>
      <w:pgSz w:w="11906" w:h="16838"/>
      <w:pgMar w:top="1560" w:right="1133"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D3835" w:rsidRDefault="00CD3835">
      <w:r>
        <w:separator/>
      </w:r>
    </w:p>
  </w:endnote>
  <w:endnote w:type="continuationSeparator" w:id="0">
    <w:p w:rsidR="00CD3835" w:rsidRDefault="00CD38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C1AED7B7-9460-46A5-9300-9D5602D02235}"/>
  </w:font>
  <w:font w:name="Tahoma">
    <w:panose1 w:val="020B0604030504040204"/>
    <w:charset w:val="00"/>
    <w:family w:val="swiss"/>
    <w:pitch w:val="variable"/>
    <w:sig w:usb0="E1002EFF" w:usb1="C000605B" w:usb2="00000029" w:usb3="00000000" w:csb0="000101FF" w:csb1="00000000"/>
    <w:embedRegular r:id="rId2" w:fontKey="{120588B2-225E-4CF7-9D15-41903A1D56DF}"/>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Ecofont_Spranq_eco_Sans">
    <w:altName w:val="Times New Roman"/>
    <w:panose1 w:val="00000000000000000000"/>
    <w:charset w:val="00"/>
    <w:family w:val="roman"/>
    <w:notTrueType/>
    <w:pitch w:val="default"/>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embedItalic r:id="rId3" w:fontKey="{484B53B4-3F87-44E6-814F-CBBBF7525491}"/>
  </w:font>
  <w:font w:name="Calibri Light">
    <w:panose1 w:val="020F0302020204030204"/>
    <w:charset w:val="00"/>
    <w:family w:val="swiss"/>
    <w:pitch w:val="variable"/>
    <w:sig w:usb0="E4002EFF" w:usb1="C000247B" w:usb2="00000009" w:usb3="00000000" w:csb0="000001FF" w:csb1="00000000"/>
    <w:embedRegular r:id="rId4" w:fontKey="{4498FB71-15D5-4398-A6DD-3DC6B65F3BB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B714E" w:rsidRDefault="00B50269">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end"/>
    </w:r>
  </w:p>
  <w:p w:rsidR="009B714E" w:rsidRDefault="009B714E">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B714E" w:rsidRDefault="00B50269">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sidR="00553557">
      <w:rPr>
        <w:noProof/>
        <w:color w:val="000000"/>
      </w:rPr>
      <w:t>14</w:t>
    </w:r>
    <w:r>
      <w:rPr>
        <w:color w:val="000000"/>
      </w:rPr>
      <w:fldChar w:fldCharType="end"/>
    </w:r>
  </w:p>
  <w:p w:rsidR="009B714E" w:rsidRDefault="009B714E">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D3835" w:rsidRDefault="00CD3835">
      <w:r>
        <w:separator/>
      </w:r>
    </w:p>
  </w:footnote>
  <w:footnote w:type="continuationSeparator" w:id="0">
    <w:p w:rsidR="00CD3835" w:rsidRDefault="00CD38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B714E" w:rsidRDefault="00B50269">
    <w:pPr>
      <w:pBdr>
        <w:top w:val="nil"/>
        <w:left w:val="nil"/>
        <w:bottom w:val="nil"/>
        <w:right w:val="nil"/>
        <w:between w:val="nil"/>
      </w:pBdr>
      <w:tabs>
        <w:tab w:val="center" w:pos="4252"/>
        <w:tab w:val="right" w:pos="8504"/>
        <w:tab w:val="right" w:pos="8931"/>
      </w:tabs>
      <w:jc w:val="center"/>
      <w:rPr>
        <w:rFonts w:ascii="Arial" w:eastAsia="Arial" w:hAnsi="Arial" w:cs="Arial"/>
        <w:b/>
        <w:bCs/>
        <w:color w:val="000000"/>
      </w:rPr>
    </w:pPr>
    <w:r>
      <w:rPr>
        <w:noProof/>
      </w:rPr>
      <mc:AlternateContent>
        <mc:Choice Requires="wpg">
          <w:drawing>
            <wp:anchor distT="0" distB="0" distL="114300" distR="114300" simplePos="0" relativeHeight="251658240" behindDoc="0" locked="0" layoutInCell="1" hidden="0" allowOverlap="1">
              <wp:simplePos x="0" y="0"/>
              <wp:positionH relativeFrom="column">
                <wp:posOffset>998538</wp:posOffset>
              </wp:positionH>
              <wp:positionV relativeFrom="paragraph">
                <wp:posOffset>71438</wp:posOffset>
              </wp:positionV>
              <wp:extent cx="4379595" cy="723900"/>
              <wp:effectExtent l="0" t="0" r="0" b="0"/>
              <wp:wrapNone/>
              <wp:docPr id="7" name="Retângulo 7"/>
              <wp:cNvGraphicFramePr/>
              <a:graphic xmlns:a="http://schemas.openxmlformats.org/drawingml/2006/main">
                <a:graphicData uri="http://schemas.microsoft.com/office/word/2010/wordprocessingShape">
                  <wps:wsp>
                    <wps:cNvSpPr/>
                    <wps:spPr>
                      <a:xfrm>
                        <a:off x="3165728" y="3427575"/>
                        <a:ext cx="4360545" cy="704850"/>
                      </a:xfrm>
                      <a:prstGeom prst="rect">
                        <a:avLst/>
                      </a:prstGeom>
                      <a:solidFill>
                        <a:srgbClr val="FFFFFF"/>
                      </a:solidFill>
                      <a:ln>
                        <a:noFill/>
                      </a:ln>
                    </wps:spPr>
                    <wps:txbx>
                      <w:txbxContent>
                        <w:p w:rsidR="009B714E" w:rsidRDefault="00B50269">
                          <w:pPr>
                            <w:jc w:val="center"/>
                            <w:textDirection w:val="btLr"/>
                          </w:pPr>
                          <w:r>
                            <w:rPr>
                              <w:rFonts w:ascii="Arial" w:eastAsia="Arial" w:hAnsi="Arial" w:cs="Arial"/>
                              <w:b/>
                              <w:color w:val="000000"/>
                              <w:sz w:val="28"/>
                            </w:rPr>
                            <w:t>PREFEITURA MUNICIPAL DE BUENO BRANDÃO</w:t>
                          </w:r>
                        </w:p>
                        <w:p w:rsidR="009B714E" w:rsidRDefault="00B50269">
                          <w:pPr>
                            <w:jc w:val="center"/>
                            <w:textDirection w:val="btLr"/>
                          </w:pPr>
                          <w:r>
                            <w:rPr>
                              <w:rFonts w:ascii="Arial" w:eastAsia="Arial" w:hAnsi="Arial" w:cs="Arial"/>
                              <w:b/>
                              <w:color w:val="000000"/>
                              <w:sz w:val="28"/>
                            </w:rPr>
                            <w:t>ESTÂNCIA CLIMÁTICA E HIDROMINERAL</w:t>
                          </w:r>
                        </w:p>
                        <w:p w:rsidR="009B714E" w:rsidRDefault="00B50269">
                          <w:pPr>
                            <w:jc w:val="center"/>
                            <w:textDirection w:val="btLr"/>
                          </w:pPr>
                          <w:r>
                            <w:rPr>
                              <w:rFonts w:ascii="Arial" w:eastAsia="Arial" w:hAnsi="Arial" w:cs="Arial"/>
                              <w:b/>
                              <w:color w:val="000000"/>
                              <w:sz w:val="28"/>
                            </w:rPr>
                            <w:t>CNPJ: 18.940.098/0001-22</w:t>
                          </w:r>
                        </w:p>
                        <w:p w:rsidR="009B714E" w:rsidRDefault="009B714E">
                          <w:pPr>
                            <w:jc w:val="center"/>
                            <w:textDirection w:val="btLr"/>
                          </w:pPr>
                        </w:p>
                      </w:txbxContent>
                    </wps:txbx>
                    <wps:bodyPr spcFirstLastPara="1" wrap="square" lIns="91425" tIns="45700" rIns="91425" bIns="4570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998538</wp:posOffset>
              </wp:positionH>
              <wp:positionV relativeFrom="paragraph">
                <wp:posOffset>71438</wp:posOffset>
              </wp:positionV>
              <wp:extent cx="4379595" cy="723900"/>
              <wp:effectExtent b="0" l="0" r="0" t="0"/>
              <wp:wrapNone/>
              <wp:docPr id="7"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379595" cy="723900"/>
                      </a:xfrm>
                      <a:prstGeom prst="rect"/>
                      <a:ln/>
                    </pic:spPr>
                  </pic:pic>
                </a:graphicData>
              </a:graphic>
            </wp:anchor>
          </w:drawing>
        </mc:Fallback>
      </mc:AlternateContent>
    </w:r>
    <w:r>
      <w:rPr>
        <w:noProof/>
      </w:rPr>
      <w:drawing>
        <wp:anchor distT="0" distB="0" distL="114300" distR="114300" simplePos="0" relativeHeight="251659264" behindDoc="0" locked="0" layoutInCell="1" hidden="0" allowOverlap="1">
          <wp:simplePos x="0" y="0"/>
          <wp:positionH relativeFrom="column">
            <wp:posOffset>201295</wp:posOffset>
          </wp:positionH>
          <wp:positionV relativeFrom="paragraph">
            <wp:posOffset>-78101</wp:posOffset>
          </wp:positionV>
          <wp:extent cx="752475" cy="762000"/>
          <wp:effectExtent l="0" t="0" r="0" b="0"/>
          <wp:wrapNone/>
          <wp:docPr id="8"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2"/>
                  <a:srcRect/>
                  <a:stretch>
                    <a:fillRect/>
                  </a:stretch>
                </pic:blipFill>
                <pic:spPr>
                  <a:xfrm>
                    <a:off x="0" y="0"/>
                    <a:ext cx="752475" cy="762000"/>
                  </a:xfrm>
                  <a:prstGeom prst="rect">
                    <a:avLst/>
                  </a:prstGeom>
                  <a:ln/>
                </pic:spPr>
              </pic:pic>
            </a:graphicData>
          </a:graphic>
        </wp:anchor>
      </w:drawing>
    </w:r>
  </w:p>
  <w:p w:rsidR="009B714E" w:rsidRDefault="009B714E">
    <w:pPr>
      <w:pBdr>
        <w:top w:val="nil"/>
        <w:left w:val="nil"/>
        <w:bottom w:val="nil"/>
        <w:right w:val="nil"/>
        <w:between w:val="nil"/>
      </w:pBdr>
      <w:tabs>
        <w:tab w:val="center" w:pos="4252"/>
        <w:tab w:val="right" w:pos="8504"/>
        <w:tab w:val="right" w:pos="8931"/>
      </w:tabs>
      <w:jc w:val="center"/>
      <w:rPr>
        <w:rFonts w:ascii="Arial" w:eastAsia="Arial" w:hAnsi="Arial" w:cs="Arial"/>
        <w:b/>
        <w:bCs/>
        <w:color w:val="000000"/>
      </w:rPr>
    </w:pPr>
  </w:p>
  <w:p w:rsidR="009B714E" w:rsidRDefault="009B714E">
    <w:pPr>
      <w:pBdr>
        <w:top w:val="nil"/>
        <w:left w:val="nil"/>
        <w:bottom w:val="nil"/>
        <w:right w:val="nil"/>
        <w:between w:val="nil"/>
      </w:pBdr>
      <w:tabs>
        <w:tab w:val="center" w:pos="4252"/>
        <w:tab w:val="right" w:pos="8504"/>
      </w:tabs>
      <w:jc w:val="center"/>
      <w:rPr>
        <w:rFonts w:ascii="Arial" w:eastAsia="Arial" w:hAnsi="Arial" w:cs="Arial"/>
        <w:b/>
        <w:bCs/>
        <w:color w:val="000000"/>
      </w:rPr>
    </w:pPr>
  </w:p>
  <w:p w:rsidR="009B714E" w:rsidRDefault="009B714E">
    <w:pPr>
      <w:pBdr>
        <w:top w:val="nil"/>
        <w:left w:val="nil"/>
        <w:bottom w:val="nil"/>
        <w:right w:val="nil"/>
        <w:between w:val="nil"/>
      </w:pBdr>
      <w:tabs>
        <w:tab w:val="center" w:pos="4252"/>
        <w:tab w:val="right" w:pos="8504"/>
      </w:tabs>
      <w:jc w:val="both"/>
      <w:rPr>
        <w:rFonts w:ascii="Arial" w:eastAsia="Arial" w:hAnsi="Arial" w:cs="Arial"/>
        <w:b/>
        <w:bCs/>
        <w:color w:val="000000"/>
      </w:rPr>
    </w:pPr>
  </w:p>
  <w:p w:rsidR="009B714E" w:rsidRDefault="00B50269">
    <w:pPr>
      <w:pBdr>
        <w:top w:val="nil"/>
        <w:left w:val="nil"/>
        <w:bottom w:val="nil"/>
        <w:right w:val="nil"/>
        <w:between w:val="nil"/>
      </w:pBdr>
      <w:tabs>
        <w:tab w:val="center" w:pos="4252"/>
        <w:tab w:val="right" w:pos="8504"/>
      </w:tabs>
      <w:jc w:val="both"/>
      <w:rPr>
        <w:rFonts w:ascii="Arial" w:eastAsia="Arial" w:hAnsi="Arial" w:cs="Arial"/>
        <w:b/>
        <w:bCs/>
        <w:color w:val="000000"/>
      </w:rPr>
    </w:pPr>
    <w:r>
      <w:rPr>
        <w:rFonts w:ascii="Arial" w:eastAsia="Arial" w:hAnsi="Arial" w:cs="Arial"/>
        <w:b/>
        <w:bCs/>
        <w:color w:val="000000"/>
      </w:rPr>
      <w:t>___________________________________________________________________</w:t>
    </w:r>
  </w:p>
  <w:p w:rsidR="009B714E" w:rsidRDefault="009B714E" w:rsidP="00076962">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2131DE6"/>
    <w:multiLevelType w:val="multilevel"/>
    <w:tmpl w:val="8EBE80C0"/>
    <w:lvl w:ilvl="0">
      <w:start w:val="5"/>
      <w:numFmt w:val="decimal"/>
      <w:lvlText w:val="%1."/>
      <w:lvlJc w:val="left"/>
      <w:pPr>
        <w:ind w:left="644" w:hanging="357"/>
      </w:pPr>
      <w:rPr>
        <w:b/>
        <w:bCs/>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5E564ECE"/>
    <w:multiLevelType w:val="multilevel"/>
    <w:tmpl w:val="123CE6A0"/>
    <w:lvl w:ilvl="0">
      <w:start w:val="1"/>
      <w:numFmt w:val="decimal"/>
      <w:pStyle w:val="Nivel1"/>
      <w:lvlText w:val="%1."/>
      <w:lvlJc w:val="left"/>
      <w:pPr>
        <w:tabs>
          <w:tab w:val="num" w:pos="720"/>
        </w:tabs>
        <w:ind w:left="720" w:hanging="720"/>
      </w:pPr>
    </w:lvl>
    <w:lvl w:ilvl="1">
      <w:start w:val="1"/>
      <w:numFmt w:val="decimal"/>
      <w:pStyle w:val="Nivel2"/>
      <w:lvlText w:val="%2."/>
      <w:lvlJc w:val="left"/>
      <w:pPr>
        <w:tabs>
          <w:tab w:val="num" w:pos="1440"/>
        </w:tabs>
        <w:ind w:left="1440" w:hanging="720"/>
      </w:pPr>
    </w:lvl>
    <w:lvl w:ilvl="2">
      <w:start w:val="1"/>
      <w:numFmt w:val="decimal"/>
      <w:pStyle w:val="Nivel3"/>
      <w:lvlText w:val="%3."/>
      <w:lvlJc w:val="left"/>
      <w:pPr>
        <w:tabs>
          <w:tab w:val="num" w:pos="2160"/>
        </w:tabs>
        <w:ind w:left="2160" w:hanging="720"/>
      </w:pPr>
    </w:lvl>
    <w:lvl w:ilvl="3">
      <w:start w:val="1"/>
      <w:numFmt w:val="decimal"/>
      <w:pStyle w:val="Nivel4"/>
      <w:lvlText w:val="%4."/>
      <w:lvlJc w:val="left"/>
      <w:pPr>
        <w:tabs>
          <w:tab w:val="num" w:pos="2880"/>
        </w:tabs>
        <w:ind w:left="2880" w:hanging="720"/>
      </w:pPr>
    </w:lvl>
    <w:lvl w:ilvl="4">
      <w:start w:val="1"/>
      <w:numFmt w:val="decimal"/>
      <w:pStyle w:val="Nivel5"/>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77CE6E16"/>
    <w:multiLevelType w:val="multilevel"/>
    <w:tmpl w:val="18F0F6EC"/>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714E"/>
    <w:rsid w:val="00025728"/>
    <w:rsid w:val="00070F14"/>
    <w:rsid w:val="00076962"/>
    <w:rsid w:val="001958C2"/>
    <w:rsid w:val="002221EE"/>
    <w:rsid w:val="00300322"/>
    <w:rsid w:val="00553557"/>
    <w:rsid w:val="005D3F72"/>
    <w:rsid w:val="00607973"/>
    <w:rsid w:val="006E7332"/>
    <w:rsid w:val="009B714E"/>
    <w:rsid w:val="00B105AD"/>
    <w:rsid w:val="00B50269"/>
    <w:rsid w:val="00B91AC7"/>
    <w:rsid w:val="00CD3835"/>
    <w:rsid w:val="00DA52F1"/>
    <w:rsid w:val="00DE5B09"/>
    <w:rsid w:val="00EA462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BADE419-5EE0-4273-BA99-9CA0BEF2FD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pt-BR" w:eastAsia="pt-B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480" w:after="120"/>
      <w:outlineLvl w:val="0"/>
    </w:pPr>
    <w:rPr>
      <w:b/>
      <w:bCs/>
      <w:sz w:val="48"/>
      <w:szCs w:val="48"/>
    </w:rPr>
  </w:style>
  <w:style w:type="paragraph" w:styleId="Ttulo2">
    <w:name w:val="heading 2"/>
    <w:basedOn w:val="Normal"/>
    <w:next w:val="Normal"/>
    <w:pPr>
      <w:keepNext/>
      <w:keepLines/>
      <w:spacing w:before="360" w:after="80"/>
      <w:outlineLvl w:val="1"/>
    </w:pPr>
    <w:rPr>
      <w:b/>
      <w:bCs/>
      <w:sz w:val="36"/>
      <w:szCs w:val="36"/>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GradeMdia21">
    <w:name w:val="Grade Média 21"/>
    <w:uiPriority w:val="1"/>
    <w:qFormat/>
    <w:rsid w:val="000841AE"/>
    <w:rPr>
      <w:rFonts w:ascii="Calibri" w:eastAsia="Calibri" w:hAnsi="Calibri"/>
      <w:sz w:val="22"/>
      <w:szCs w:val="22"/>
    </w:rPr>
  </w:style>
  <w:style w:type="paragraph" w:styleId="NormalWeb">
    <w:name w:val="Normal (Web)"/>
    <w:basedOn w:val="Normal"/>
    <w:uiPriority w:val="99"/>
    <w:unhideWhenUsed/>
    <w:rsid w:val="00F57AF6"/>
    <w:pPr>
      <w:spacing w:before="100" w:beforeAutospacing="1" w:after="100" w:afterAutospacing="1"/>
    </w:pPr>
  </w:style>
  <w:style w:type="paragraph" w:styleId="PargrafodaLista">
    <w:name w:val="List Paragraph"/>
    <w:basedOn w:val="Normal"/>
    <w:link w:val="PargrafodaListaChar"/>
    <w:uiPriority w:val="34"/>
    <w:qFormat/>
    <w:rsid w:val="00F25EA8"/>
    <w:pPr>
      <w:ind w:left="720"/>
      <w:contextualSpacing/>
    </w:pPr>
  </w:style>
  <w:style w:type="character" w:customStyle="1" w:styleId="PargrafodaListaChar">
    <w:name w:val="Parágrafo da Lista Char"/>
    <w:link w:val="PargrafodaLista"/>
    <w:uiPriority w:val="34"/>
    <w:locked/>
    <w:rsid w:val="00F25EA8"/>
    <w:rPr>
      <w:rFonts w:ascii="Times New Roman" w:eastAsia="Times New Roman" w:hAnsi="Times New Roman" w:cs="Times New Roman"/>
      <w:lang w:eastAsia="pt-BR"/>
    </w:rPr>
  </w:style>
  <w:style w:type="paragraph" w:styleId="Rodap">
    <w:name w:val="footer"/>
    <w:basedOn w:val="Normal"/>
    <w:link w:val="RodapChar"/>
    <w:unhideWhenUsed/>
    <w:rsid w:val="000A3826"/>
    <w:pPr>
      <w:tabs>
        <w:tab w:val="center" w:pos="4252"/>
        <w:tab w:val="right" w:pos="8504"/>
      </w:tabs>
    </w:pPr>
  </w:style>
  <w:style w:type="character" w:customStyle="1" w:styleId="RodapChar">
    <w:name w:val="Rodapé Char"/>
    <w:basedOn w:val="Fontepargpadro"/>
    <w:link w:val="Rodap"/>
    <w:uiPriority w:val="99"/>
    <w:rsid w:val="000A3826"/>
    <w:rPr>
      <w:rFonts w:ascii="Times New Roman" w:eastAsia="Times New Roman" w:hAnsi="Times New Roman" w:cs="Times New Roman"/>
      <w:lang w:eastAsia="pt-BR"/>
    </w:rPr>
  </w:style>
  <w:style w:type="character" w:styleId="Nmerodepgina">
    <w:name w:val="page number"/>
    <w:basedOn w:val="Fontepargpadro"/>
    <w:uiPriority w:val="99"/>
    <w:semiHidden/>
    <w:unhideWhenUsed/>
    <w:rsid w:val="000A3826"/>
  </w:style>
  <w:style w:type="paragraph" w:styleId="Reviso">
    <w:name w:val="Revision"/>
    <w:hidden/>
    <w:uiPriority w:val="99"/>
    <w:semiHidden/>
    <w:rsid w:val="00977E17"/>
  </w:style>
  <w:style w:type="paragraph" w:styleId="Cabealho">
    <w:name w:val="header"/>
    <w:basedOn w:val="Normal"/>
    <w:link w:val="CabealhoChar"/>
    <w:unhideWhenUsed/>
    <w:rsid w:val="00AC0EA8"/>
    <w:pPr>
      <w:tabs>
        <w:tab w:val="center" w:pos="4252"/>
        <w:tab w:val="right" w:pos="8504"/>
      </w:tabs>
    </w:pPr>
  </w:style>
  <w:style w:type="character" w:customStyle="1" w:styleId="CabealhoChar">
    <w:name w:val="Cabeçalho Char"/>
    <w:basedOn w:val="Fontepargpadro"/>
    <w:link w:val="Cabealho"/>
    <w:rsid w:val="00AC0EA8"/>
    <w:rPr>
      <w:rFonts w:ascii="Times New Roman" w:eastAsia="Times New Roman" w:hAnsi="Times New Roman" w:cs="Times New Roman"/>
      <w:lang w:eastAsia="pt-BR"/>
    </w:rPr>
  </w:style>
  <w:style w:type="paragraph" w:styleId="Textodebalo">
    <w:name w:val="Balloon Text"/>
    <w:basedOn w:val="Normal"/>
    <w:link w:val="TextodebaloChar"/>
    <w:unhideWhenUsed/>
    <w:rsid w:val="00AC0EA8"/>
    <w:rPr>
      <w:rFonts w:ascii="Tahoma" w:hAnsi="Tahoma" w:cs="Tahoma"/>
      <w:sz w:val="16"/>
      <w:szCs w:val="16"/>
    </w:rPr>
  </w:style>
  <w:style w:type="character" w:customStyle="1" w:styleId="TextodebaloChar">
    <w:name w:val="Texto de balão Char"/>
    <w:basedOn w:val="Fontepargpadro"/>
    <w:link w:val="Textodebalo"/>
    <w:rsid w:val="00AC0EA8"/>
    <w:rPr>
      <w:rFonts w:ascii="Tahoma" w:eastAsia="Times New Roman" w:hAnsi="Tahoma" w:cs="Tahoma"/>
      <w:sz w:val="16"/>
      <w:szCs w:val="16"/>
      <w:lang w:eastAsia="pt-BR"/>
    </w:rPr>
  </w:style>
  <w:style w:type="paragraph" w:customStyle="1" w:styleId="Standard">
    <w:name w:val="Standard"/>
    <w:rsid w:val="003B34E0"/>
    <w:pPr>
      <w:widowControl w:val="0"/>
      <w:suppressAutoHyphens/>
      <w:autoSpaceDN w:val="0"/>
      <w:textAlignment w:val="baseline"/>
    </w:pPr>
    <w:rPr>
      <w:rFonts w:eastAsia="SimSun" w:cs="Tahoma"/>
      <w:kern w:val="3"/>
      <w:lang w:eastAsia="zh-CN" w:bidi="hi-IN"/>
    </w:rPr>
  </w:style>
  <w:style w:type="paragraph" w:customStyle="1" w:styleId="EPTabela">
    <w:name w:val="EP Tabela"/>
    <w:basedOn w:val="Normal"/>
    <w:rsid w:val="003B34E0"/>
    <w:pPr>
      <w:widowControl w:val="0"/>
      <w:suppressAutoHyphens/>
      <w:autoSpaceDN w:val="0"/>
      <w:jc w:val="center"/>
      <w:textAlignment w:val="baseline"/>
    </w:pPr>
    <w:rPr>
      <w:rFonts w:eastAsia="SimSun" w:cs="Arial"/>
      <w:b/>
      <w:kern w:val="3"/>
      <w:sz w:val="22"/>
      <w:lang w:eastAsia="ar-SA" w:bidi="hi-IN"/>
    </w:rPr>
  </w:style>
  <w:style w:type="paragraph" w:customStyle="1" w:styleId="EPConteudotabela">
    <w:name w:val="EP Conteudotabela"/>
    <w:basedOn w:val="Normal"/>
    <w:rsid w:val="003B34E0"/>
    <w:pPr>
      <w:widowControl w:val="0"/>
      <w:tabs>
        <w:tab w:val="left" w:pos="-302"/>
      </w:tabs>
      <w:suppressAutoHyphens/>
      <w:autoSpaceDN w:val="0"/>
      <w:spacing w:line="100" w:lineRule="atLeast"/>
      <w:ind w:left="23" w:firstLine="45"/>
      <w:textAlignment w:val="baseline"/>
    </w:pPr>
    <w:rPr>
      <w:rFonts w:eastAsia="SimSun" w:cs="Arial"/>
      <w:kern w:val="3"/>
      <w:lang w:eastAsia="ar-SA" w:bidi="hi-IN"/>
    </w:rPr>
  </w:style>
  <w:style w:type="paragraph" w:customStyle="1" w:styleId="Textbody">
    <w:name w:val="Text body"/>
    <w:basedOn w:val="Standard"/>
    <w:rsid w:val="003B34E0"/>
    <w:pPr>
      <w:spacing w:after="120"/>
    </w:pPr>
  </w:style>
  <w:style w:type="paragraph" w:customStyle="1" w:styleId="TableContents">
    <w:name w:val="Table Contents"/>
    <w:basedOn w:val="Standard"/>
    <w:rsid w:val="003B34E0"/>
    <w:pPr>
      <w:suppressLineNumbers/>
    </w:pPr>
  </w:style>
  <w:style w:type="table" w:styleId="Tabelacomgrade">
    <w:name w:val="Table Grid"/>
    <w:basedOn w:val="Tabelanormal"/>
    <w:rsid w:val="00BA1999"/>
    <w:pPr>
      <w:ind w:left="709" w:hanging="357"/>
      <w:jc w:val="both"/>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notaderodap">
    <w:name w:val="footnote text"/>
    <w:basedOn w:val="Normal"/>
    <w:link w:val="TextodenotaderodapChar"/>
    <w:unhideWhenUsed/>
    <w:rsid w:val="00BA1999"/>
    <w:rPr>
      <w:sz w:val="20"/>
      <w:szCs w:val="20"/>
    </w:rPr>
  </w:style>
  <w:style w:type="character" w:customStyle="1" w:styleId="TextodenotaderodapChar">
    <w:name w:val="Texto de nota de rodapé Char"/>
    <w:basedOn w:val="Fontepargpadro"/>
    <w:link w:val="Textodenotaderodap"/>
    <w:rsid w:val="00BA1999"/>
    <w:rPr>
      <w:rFonts w:ascii="Times New Roman" w:eastAsia="Times New Roman" w:hAnsi="Times New Roman" w:cs="Times New Roman"/>
      <w:sz w:val="20"/>
      <w:szCs w:val="20"/>
      <w:lang w:eastAsia="pt-BR"/>
    </w:rPr>
  </w:style>
  <w:style w:type="character" w:styleId="Refdenotaderodap">
    <w:name w:val="footnote reference"/>
    <w:basedOn w:val="Fontepargpadro"/>
    <w:unhideWhenUsed/>
    <w:rsid w:val="00BA1999"/>
    <w:rPr>
      <w:vertAlign w:val="superscript"/>
    </w:rPr>
  </w:style>
  <w:style w:type="paragraph" w:styleId="Corpodetexto">
    <w:name w:val="Body Text"/>
    <w:basedOn w:val="Normal"/>
    <w:link w:val="CorpodetextoChar"/>
    <w:qFormat/>
    <w:rsid w:val="0007345C"/>
    <w:pPr>
      <w:widowControl w:val="0"/>
      <w:autoSpaceDE w:val="0"/>
      <w:autoSpaceDN w:val="0"/>
    </w:pPr>
    <w:rPr>
      <w:b/>
      <w:bCs/>
      <w:sz w:val="27"/>
      <w:szCs w:val="27"/>
      <w:lang w:val="pt-PT" w:eastAsia="en-US"/>
    </w:rPr>
  </w:style>
  <w:style w:type="character" w:customStyle="1" w:styleId="CorpodetextoChar">
    <w:name w:val="Corpo de texto Char"/>
    <w:basedOn w:val="Fontepargpadro"/>
    <w:link w:val="Corpodetexto"/>
    <w:rsid w:val="0007345C"/>
    <w:rPr>
      <w:rFonts w:ascii="Times New Roman" w:eastAsia="Times New Roman" w:hAnsi="Times New Roman" w:cs="Times New Roman"/>
      <w:b/>
      <w:bCs/>
      <w:sz w:val="27"/>
      <w:szCs w:val="27"/>
      <w:lang w:val="pt-PT"/>
    </w:rPr>
  </w:style>
  <w:style w:type="character" w:customStyle="1" w:styleId="halyaf">
    <w:name w:val="halyaf"/>
    <w:rsid w:val="0007345C"/>
  </w:style>
  <w:style w:type="paragraph" w:customStyle="1" w:styleId="Default">
    <w:name w:val="Default"/>
    <w:rsid w:val="00A63633"/>
    <w:pPr>
      <w:autoSpaceDE w:val="0"/>
      <w:autoSpaceDN w:val="0"/>
      <w:adjustRightInd w:val="0"/>
    </w:pPr>
    <w:rPr>
      <w:rFonts w:ascii="Arial" w:hAnsi="Arial" w:cs="Arial"/>
      <w:color w:val="000000"/>
    </w:rPr>
  </w:style>
  <w:style w:type="paragraph" w:customStyle="1" w:styleId="SemEspaamento1">
    <w:name w:val="Sem Espaçamento1"/>
    <w:rsid w:val="005B5407"/>
    <w:rPr>
      <w:rFonts w:ascii="Calibri" w:hAnsi="Calibri" w:cs="Calibri"/>
      <w:sz w:val="22"/>
      <w:szCs w:val="22"/>
    </w:rPr>
  </w:style>
  <w:style w:type="paragraph" w:customStyle="1" w:styleId="SemEspaamento2">
    <w:name w:val="Sem Espaçamento2"/>
    <w:rsid w:val="005B5407"/>
    <w:rPr>
      <w:rFonts w:ascii="Calibri" w:hAnsi="Calibri" w:cs="Calibri"/>
      <w:sz w:val="22"/>
      <w:szCs w:val="22"/>
    </w:rPr>
  </w:style>
  <w:style w:type="character" w:customStyle="1" w:styleId="SemEspaamentoChar">
    <w:name w:val="Sem Espaçamento Char"/>
    <w:link w:val="SemEspaamento"/>
    <w:uiPriority w:val="1"/>
    <w:locked/>
    <w:rsid w:val="005B5407"/>
  </w:style>
  <w:style w:type="paragraph" w:styleId="SemEspaamento">
    <w:name w:val="No Spacing"/>
    <w:basedOn w:val="Normal"/>
    <w:link w:val="SemEspaamentoChar"/>
    <w:uiPriority w:val="1"/>
    <w:qFormat/>
    <w:rsid w:val="005B5407"/>
    <w:rPr>
      <w:rFonts w:asciiTheme="minorHAnsi" w:eastAsiaTheme="minorHAnsi" w:hAnsiTheme="minorHAnsi" w:cstheme="minorBidi"/>
      <w:lang w:eastAsia="en-US"/>
    </w:rPr>
  </w:style>
  <w:style w:type="paragraph" w:styleId="TextosemFormatao">
    <w:name w:val="Plain Text"/>
    <w:basedOn w:val="Normal"/>
    <w:link w:val="TextosemFormataoChar"/>
    <w:uiPriority w:val="99"/>
    <w:rsid w:val="005B5407"/>
    <w:rPr>
      <w:rFonts w:ascii="Courier New" w:hAnsi="Courier New"/>
      <w:sz w:val="20"/>
      <w:szCs w:val="20"/>
    </w:rPr>
  </w:style>
  <w:style w:type="character" w:customStyle="1" w:styleId="TextosemFormataoChar">
    <w:name w:val="Texto sem Formatação Char"/>
    <w:basedOn w:val="Fontepargpadro"/>
    <w:link w:val="TextosemFormatao"/>
    <w:uiPriority w:val="99"/>
    <w:rsid w:val="005B5407"/>
    <w:rPr>
      <w:rFonts w:ascii="Courier New" w:eastAsia="Times New Roman" w:hAnsi="Courier New" w:cs="Times New Roman"/>
      <w:sz w:val="20"/>
      <w:szCs w:val="20"/>
      <w:lang w:eastAsia="pt-BR"/>
    </w:rPr>
  </w:style>
  <w:style w:type="paragraph" w:customStyle="1" w:styleId="SemEspaamento3">
    <w:name w:val="Sem Espaçamento3"/>
    <w:rsid w:val="005B5407"/>
    <w:rPr>
      <w:rFonts w:ascii="Calibri" w:hAnsi="Calibri" w:cs="Calibri"/>
      <w:sz w:val="22"/>
      <w:szCs w:val="22"/>
    </w:rPr>
  </w:style>
  <w:style w:type="paragraph" w:customStyle="1" w:styleId="PADRO">
    <w:name w:val="PADRÃO"/>
    <w:rsid w:val="00C463DC"/>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 w:val="20"/>
      <w:lang w:eastAsia="zh-CN" w:bidi="hi-IN"/>
    </w:rPr>
  </w:style>
  <w:style w:type="paragraph" w:styleId="Corpodetexto3">
    <w:name w:val="Body Text 3"/>
    <w:basedOn w:val="Normal"/>
    <w:link w:val="Corpodetexto3Char"/>
    <w:rsid w:val="00F92A9C"/>
    <w:rPr>
      <w:szCs w:val="20"/>
    </w:rPr>
  </w:style>
  <w:style w:type="character" w:customStyle="1" w:styleId="Corpodetexto3Char">
    <w:name w:val="Corpo de texto 3 Char"/>
    <w:basedOn w:val="Fontepargpadro"/>
    <w:link w:val="Corpodetexto3"/>
    <w:rsid w:val="00F92A9C"/>
    <w:rPr>
      <w:rFonts w:ascii="Times New Roman" w:eastAsia="Times New Roman" w:hAnsi="Times New Roman" w:cs="Times New Roman"/>
      <w:szCs w:val="20"/>
      <w:lang w:eastAsia="pt-BR"/>
    </w:rPr>
  </w:style>
  <w:style w:type="paragraph" w:styleId="Recuodecorpodetexto">
    <w:name w:val="Body Text Indent"/>
    <w:basedOn w:val="Normal"/>
    <w:link w:val="RecuodecorpodetextoChar"/>
    <w:rsid w:val="00F92A9C"/>
    <w:pPr>
      <w:spacing w:after="120"/>
      <w:ind w:left="283"/>
    </w:pPr>
  </w:style>
  <w:style w:type="character" w:customStyle="1" w:styleId="RecuodecorpodetextoChar">
    <w:name w:val="Recuo de corpo de texto Char"/>
    <w:basedOn w:val="Fontepargpadro"/>
    <w:link w:val="Recuodecorpodetexto"/>
    <w:rsid w:val="00F92A9C"/>
    <w:rPr>
      <w:rFonts w:ascii="Times New Roman" w:eastAsia="Times New Roman" w:hAnsi="Times New Roman" w:cs="Times New Roman"/>
      <w:lang w:eastAsia="pt-BR"/>
    </w:rPr>
  </w:style>
  <w:style w:type="paragraph" w:styleId="Recuodecorpodetexto3">
    <w:name w:val="Body Text Indent 3"/>
    <w:basedOn w:val="Normal"/>
    <w:link w:val="Recuodecorpodetexto3Char"/>
    <w:rsid w:val="00F92A9C"/>
    <w:pPr>
      <w:spacing w:after="120"/>
      <w:ind w:left="283"/>
    </w:pPr>
    <w:rPr>
      <w:sz w:val="16"/>
      <w:szCs w:val="16"/>
    </w:rPr>
  </w:style>
  <w:style w:type="character" w:customStyle="1" w:styleId="Recuodecorpodetexto3Char">
    <w:name w:val="Recuo de corpo de texto 3 Char"/>
    <w:basedOn w:val="Fontepargpadro"/>
    <w:link w:val="Recuodecorpodetexto3"/>
    <w:rsid w:val="00F92A9C"/>
    <w:rPr>
      <w:rFonts w:ascii="Times New Roman" w:eastAsia="Times New Roman" w:hAnsi="Times New Roman" w:cs="Times New Roman"/>
      <w:sz w:val="16"/>
      <w:szCs w:val="16"/>
      <w:lang w:eastAsia="pt-BR"/>
    </w:rPr>
  </w:style>
  <w:style w:type="character" w:styleId="Forte">
    <w:name w:val="Strong"/>
    <w:uiPriority w:val="22"/>
    <w:qFormat/>
    <w:rsid w:val="00F92A9C"/>
    <w:rPr>
      <w:b/>
      <w:bCs/>
    </w:rPr>
  </w:style>
  <w:style w:type="paragraph" w:styleId="Textodecomentrio">
    <w:name w:val="annotation text"/>
    <w:basedOn w:val="Normal"/>
    <w:link w:val="TextodecomentrioChar"/>
    <w:uiPriority w:val="99"/>
    <w:unhideWhenUsed/>
    <w:qFormat/>
    <w:rsid w:val="00F92A9C"/>
    <w:rPr>
      <w:sz w:val="20"/>
      <w:szCs w:val="20"/>
    </w:rPr>
  </w:style>
  <w:style w:type="character" w:customStyle="1" w:styleId="TextodecomentrioChar">
    <w:name w:val="Texto de comentário Char"/>
    <w:basedOn w:val="Fontepargpadro"/>
    <w:link w:val="Textodecomentrio"/>
    <w:uiPriority w:val="99"/>
    <w:qFormat/>
    <w:rsid w:val="00F92A9C"/>
    <w:rPr>
      <w:rFonts w:ascii="Times New Roman" w:eastAsia="Times New Roman" w:hAnsi="Times New Roman" w:cs="Times New Roman"/>
      <w:sz w:val="20"/>
      <w:szCs w:val="20"/>
      <w:lang w:eastAsia="pt-BR"/>
    </w:rPr>
  </w:style>
  <w:style w:type="paragraph" w:customStyle="1" w:styleId="TableParagraph">
    <w:name w:val="Table Paragraph"/>
    <w:basedOn w:val="Normal"/>
    <w:uiPriority w:val="1"/>
    <w:qFormat/>
    <w:rsid w:val="00F92A9C"/>
    <w:pPr>
      <w:ind w:left="177" w:right="168"/>
      <w:jc w:val="center"/>
    </w:pPr>
    <w:rPr>
      <w:rFonts w:ascii="Arial" w:eastAsia="Arial" w:hAnsi="Arial" w:cs="Arial"/>
      <w:lang w:val="pt-PT" w:eastAsia="en-US"/>
    </w:rPr>
  </w:style>
  <w:style w:type="paragraph" w:customStyle="1" w:styleId="Nivel2">
    <w:name w:val="Nivel 2"/>
    <w:link w:val="Nivel2Char"/>
    <w:qFormat/>
    <w:rsid w:val="00F92A9C"/>
    <w:pPr>
      <w:numPr>
        <w:ilvl w:val="1"/>
        <w:numId w:val="3"/>
      </w:numPr>
      <w:spacing w:before="120" w:after="120" w:line="276" w:lineRule="auto"/>
      <w:jc w:val="both"/>
    </w:pPr>
    <w:rPr>
      <w:rFonts w:ascii="Ecofont_Spranq_eco_Sans" w:eastAsia="Arial Unicode MS" w:hAnsi="Ecofont_Spranq_eco_Sans"/>
      <w:sz w:val="20"/>
      <w:szCs w:val="20"/>
    </w:rPr>
  </w:style>
  <w:style w:type="paragraph" w:customStyle="1" w:styleId="Nivel1">
    <w:name w:val="Nivel 1"/>
    <w:basedOn w:val="Nivel2"/>
    <w:next w:val="Nivel2"/>
    <w:qFormat/>
    <w:rsid w:val="00F92A9C"/>
    <w:pPr>
      <w:numPr>
        <w:ilvl w:val="0"/>
      </w:numPr>
      <w:tabs>
        <w:tab w:val="num" w:pos="360"/>
        <w:tab w:val="num" w:pos="1065"/>
      </w:tabs>
      <w:ind w:left="858" w:hanging="432"/>
    </w:pPr>
    <w:rPr>
      <w:rFonts w:cs="Arial"/>
      <w:b/>
    </w:rPr>
  </w:style>
  <w:style w:type="paragraph" w:customStyle="1" w:styleId="Nivel3">
    <w:name w:val="Nivel 3"/>
    <w:basedOn w:val="Nivel2"/>
    <w:link w:val="Nivel3Char"/>
    <w:qFormat/>
    <w:rsid w:val="00F92A9C"/>
    <w:pPr>
      <w:numPr>
        <w:ilvl w:val="2"/>
      </w:numPr>
      <w:tabs>
        <w:tab w:val="num" w:pos="360"/>
        <w:tab w:val="num" w:pos="2505"/>
      </w:tabs>
      <w:ind w:left="2505"/>
    </w:pPr>
    <w:rPr>
      <w:rFonts w:cs="Arial"/>
      <w:color w:val="000000"/>
    </w:rPr>
  </w:style>
  <w:style w:type="paragraph" w:customStyle="1" w:styleId="Nivel4">
    <w:name w:val="Nivel 4"/>
    <w:basedOn w:val="Nivel3"/>
    <w:qFormat/>
    <w:rsid w:val="00F92A9C"/>
    <w:pPr>
      <w:numPr>
        <w:ilvl w:val="3"/>
      </w:numPr>
      <w:tabs>
        <w:tab w:val="num" w:pos="360"/>
        <w:tab w:val="num" w:pos="2160"/>
        <w:tab w:val="num" w:pos="3225"/>
      </w:tabs>
      <w:ind w:left="3225"/>
    </w:pPr>
    <w:rPr>
      <w:color w:val="auto"/>
    </w:rPr>
  </w:style>
  <w:style w:type="paragraph" w:customStyle="1" w:styleId="Nivel5">
    <w:name w:val="Nivel 5"/>
    <w:basedOn w:val="Nivel4"/>
    <w:qFormat/>
    <w:rsid w:val="00F92A9C"/>
    <w:pPr>
      <w:numPr>
        <w:ilvl w:val="4"/>
      </w:numPr>
      <w:tabs>
        <w:tab w:val="num" w:pos="360"/>
        <w:tab w:val="num" w:pos="2160"/>
        <w:tab w:val="num" w:pos="3945"/>
      </w:tabs>
      <w:ind w:left="2232"/>
    </w:pPr>
  </w:style>
  <w:style w:type="character" w:customStyle="1" w:styleId="Nivel2Char">
    <w:name w:val="Nivel 2 Char"/>
    <w:basedOn w:val="Fontepargpadro"/>
    <w:link w:val="Nivel2"/>
    <w:locked/>
    <w:rsid w:val="00F92A9C"/>
    <w:rPr>
      <w:rFonts w:ascii="Ecofont_Spranq_eco_Sans" w:eastAsia="Arial Unicode MS" w:hAnsi="Ecofont_Spranq_eco_Sans" w:cs="Times New Roman"/>
      <w:sz w:val="20"/>
      <w:szCs w:val="20"/>
      <w:lang w:eastAsia="pt-BR"/>
    </w:rPr>
  </w:style>
  <w:style w:type="character" w:customStyle="1" w:styleId="Nivel3Char">
    <w:name w:val="Nivel 3 Char"/>
    <w:basedOn w:val="Fontepargpadro"/>
    <w:link w:val="Nivel3"/>
    <w:rsid w:val="00F92A9C"/>
    <w:rPr>
      <w:rFonts w:ascii="Ecofont_Spranq_eco_Sans" w:eastAsia="Arial Unicode MS" w:hAnsi="Ecofont_Spranq_eco_Sans" w:cs="Arial"/>
      <w:color w:val="000000"/>
      <w:sz w:val="20"/>
      <w:szCs w:val="20"/>
      <w:lang w:eastAsia="pt-BR"/>
    </w:rPr>
  </w:style>
  <w:style w:type="character" w:customStyle="1" w:styleId="selectable-text">
    <w:name w:val="selectable-text"/>
    <w:basedOn w:val="Fontepargpadro"/>
    <w:rsid w:val="00F92A9C"/>
  </w:style>
  <w:style w:type="paragraph" w:customStyle="1" w:styleId="ParagraphStyle">
    <w:name w:val="Paragraph Style"/>
    <w:rsid w:val="001744E8"/>
    <w:pPr>
      <w:widowControl w:val="0"/>
      <w:autoSpaceDE w:val="0"/>
      <w:autoSpaceDN w:val="0"/>
      <w:adjustRightInd w:val="0"/>
    </w:pPr>
    <w:rPr>
      <w:rFonts w:ascii="Arial" w:eastAsiaTheme="minorEastAsia" w:hAnsi="Arial" w:cs="Arial"/>
      <w:lang w:val="x-none"/>
    </w:rPr>
  </w:style>
  <w:style w:type="paragraph" w:customStyle="1" w:styleId="Right">
    <w:name w:val="Right"/>
    <w:uiPriority w:val="99"/>
    <w:rsid w:val="001744E8"/>
    <w:pPr>
      <w:widowControl w:val="0"/>
      <w:autoSpaceDE w:val="0"/>
      <w:autoSpaceDN w:val="0"/>
      <w:adjustRightInd w:val="0"/>
      <w:jc w:val="right"/>
    </w:pPr>
    <w:rPr>
      <w:rFonts w:ascii="Arial" w:eastAsiaTheme="minorEastAsia" w:hAnsi="Arial" w:cs="Arial"/>
      <w:lang w:val="x-none"/>
    </w:rPr>
  </w:style>
  <w:style w:type="character" w:customStyle="1" w:styleId="Normaltext">
    <w:name w:val="Normal text"/>
    <w:uiPriority w:val="99"/>
    <w:rsid w:val="001744E8"/>
    <w:rPr>
      <w:sz w:val="20"/>
      <w:szCs w:val="20"/>
    </w:rPr>
  </w:style>
  <w:style w:type="table" w:customStyle="1" w:styleId="a">
    <w:basedOn w:val="TableNormal1"/>
    <w:tblPr>
      <w:tblStyleRowBandSize w:val="1"/>
      <w:tblStyleColBandSize w:val="1"/>
      <w:tblCellMar>
        <w:left w:w="1" w:type="dxa"/>
        <w:right w:w="1" w:type="dxa"/>
      </w:tblCellMar>
    </w:tblPr>
  </w:style>
  <w:style w:type="table" w:customStyle="1" w:styleId="a0">
    <w:basedOn w:val="TableNormal1"/>
    <w:tblPr>
      <w:tblStyleRowBandSize w:val="1"/>
      <w:tblStyleColBandSize w:val="1"/>
    </w:tblPr>
  </w:style>
  <w:style w:type="table" w:customStyle="1" w:styleId="a1">
    <w:basedOn w:val="TableNormal1"/>
    <w:tblPr>
      <w:tblStyleRowBandSize w:val="1"/>
      <w:tblStyleColBandSize w:val="1"/>
    </w:tblPr>
  </w:style>
  <w:style w:type="table" w:customStyle="1" w:styleId="a2">
    <w:basedOn w:val="TableNormal1"/>
    <w:tblPr>
      <w:tblStyleRowBandSize w:val="1"/>
      <w:tblStyleColBandSize w:val="1"/>
    </w:tblPr>
  </w:style>
  <w:style w:type="table" w:customStyle="1" w:styleId="a3">
    <w:basedOn w:val="TableNormal1"/>
    <w:tblPr>
      <w:tblStyleRowBandSize w:val="1"/>
      <w:tblStyleColBandSize w:val="1"/>
    </w:tblPr>
  </w:style>
  <w:style w:type="table" w:customStyle="1" w:styleId="a4">
    <w:basedOn w:val="TableNormal1"/>
    <w:tblPr>
      <w:tblStyleRowBandSize w:val="1"/>
      <w:tblStyleColBandSize w:val="1"/>
      <w:tblCellMar>
        <w:left w:w="1" w:type="dxa"/>
        <w:right w:w="1" w:type="dxa"/>
      </w:tblCellMar>
    </w:tblPr>
  </w:style>
  <w:style w:type="table" w:customStyle="1" w:styleId="a5">
    <w:basedOn w:val="TableNormal1"/>
    <w:tblPr>
      <w:tblStyleRowBandSize w:val="1"/>
      <w:tblStyleColBandSize w:val="1"/>
      <w:tblCellMar>
        <w:left w:w="115" w:type="dxa"/>
        <w:right w:w="115" w:type="dxa"/>
      </w:tblCellMar>
    </w:tblPr>
  </w:style>
  <w:style w:type="table" w:customStyle="1" w:styleId="a6">
    <w:basedOn w:val="TableNormal1"/>
    <w:tblPr>
      <w:tblStyleRowBandSize w:val="1"/>
      <w:tblStyleColBandSize w:val="1"/>
    </w:tblPr>
  </w:style>
  <w:style w:type="table" w:customStyle="1" w:styleId="a7">
    <w:basedOn w:val="TableNormal1"/>
    <w:tblPr>
      <w:tblStyleRowBandSize w:val="1"/>
      <w:tblStyleColBandSize w:val="1"/>
    </w:tblPr>
  </w:style>
  <w:style w:type="table" w:customStyle="1" w:styleId="a8">
    <w:basedOn w:val="TableNormal1"/>
    <w:tblPr>
      <w:tblStyleRowBandSize w:val="1"/>
      <w:tblStyleColBandSize w:val="1"/>
    </w:tblPr>
  </w:style>
  <w:style w:type="table" w:customStyle="1" w:styleId="a9">
    <w:basedOn w:val="TableNormal1"/>
    <w:tblPr>
      <w:tblStyleRowBandSize w:val="1"/>
      <w:tblStyleColBandSize w:val="1"/>
    </w:tblPr>
  </w:style>
  <w:style w:type="table" w:customStyle="1" w:styleId="aa">
    <w:basedOn w:val="TableNormal1"/>
    <w:pPr>
      <w:widowControl w:val="0"/>
    </w:pPr>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b">
    <w:basedOn w:val="TableNormal1"/>
    <w:tblPr>
      <w:tblStyleRowBandSize w:val="1"/>
      <w:tblStyleColBandSize w:val="1"/>
      <w:tblCellMar>
        <w:left w:w="115" w:type="dxa"/>
        <w:right w:w="115" w:type="dxa"/>
      </w:tblCellMar>
    </w:tbl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c">
    <w:basedOn w:val="TableNormal0"/>
    <w:tblPr>
      <w:tblStyleRowBandSize w:val="1"/>
      <w:tblStyleColBandSize w:val="1"/>
      <w:tblCellMar>
        <w:top w:w="0" w:type="dxa"/>
        <w:left w:w="0" w:type="dxa"/>
        <w:bottom w:w="0" w:type="dxa"/>
        <w:right w:w="0" w:type="dxa"/>
      </w:tblCellMar>
    </w:tblPr>
  </w:style>
  <w:style w:type="table" w:customStyle="1" w:styleId="ad">
    <w:basedOn w:val="TableNormal0"/>
    <w:tblPr>
      <w:tblStyleRowBandSize w:val="1"/>
      <w:tblStyleColBandSize w:val="1"/>
      <w:tblCellMar>
        <w:top w:w="0" w:type="dxa"/>
        <w:left w:w="0" w:type="dxa"/>
        <w:bottom w:w="0" w:type="dxa"/>
        <w:right w:w="0" w:type="dxa"/>
      </w:tblCellMar>
    </w:tblPr>
  </w:style>
  <w:style w:type="table" w:customStyle="1" w:styleId="ae">
    <w:basedOn w:val="TableNormal0"/>
    <w:tblPr>
      <w:tblStyleRowBandSize w:val="1"/>
      <w:tblStyleColBandSize w:val="1"/>
      <w:tblCellMar>
        <w:top w:w="0" w:type="dxa"/>
        <w:left w:w="0" w:type="dxa"/>
        <w:bottom w:w="0" w:type="dxa"/>
        <w:right w:w="0" w:type="dxa"/>
      </w:tblCellMar>
    </w:tblPr>
  </w:style>
  <w:style w:type="table" w:customStyle="1" w:styleId="af">
    <w:basedOn w:val="TableNormal0"/>
    <w:tblPr>
      <w:tblStyleRowBandSize w:val="1"/>
      <w:tblStyleColBandSize w:val="1"/>
      <w:tblCellMar>
        <w:top w:w="0" w:type="dxa"/>
        <w:left w:w="0" w:type="dxa"/>
        <w:bottom w:w="0" w:type="dxa"/>
        <w:right w:w="0" w:type="dxa"/>
      </w:tblCellMar>
    </w:tblPr>
  </w:style>
  <w:style w:type="table" w:customStyle="1" w:styleId="af0">
    <w:basedOn w:val="TableNormal0"/>
    <w:pPr>
      <w:widowControl w:val="0"/>
    </w:pPr>
    <w:rPr>
      <w:rFonts w:ascii="Calibri" w:eastAsia="Calibri" w:hAnsi="Calibri" w:cs="Calibri"/>
      <w:sz w:val="22"/>
      <w:szCs w:val="22"/>
    </w:rPr>
    <w:tblPr>
      <w:tblStyleRowBandSize w:val="1"/>
      <w:tblStyleColBandSize w:val="1"/>
      <w:tblCellMar>
        <w:top w:w="0" w:type="dxa"/>
        <w:left w:w="115" w:type="dxa"/>
        <w:bottom w:w="0" w:type="dxa"/>
        <w:right w:w="115" w:type="dxa"/>
      </w:tblCellMar>
    </w:tblPr>
  </w:style>
  <w:style w:type="table" w:customStyle="1" w:styleId="af1">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1.jpg"/><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rRikSWhhcF2Whm1r2JmiZjx2qyQ==">CgMxLjAyDmguMm54cGpnNXcwZ282Mg5oLm5hbHd0bXIzZnNqYzIOaC5lcW5jcXdjeHdhYWIyDmguZXFuY3F3Y3h3YWFiMg5oLmVxbmNxd2N4d2FhYjIOaC5lcW5jcXdjeHdhYWIyDmguZXFuY3F3Y3h3YWFiMg5oLmVxbmNxd2N4d2FhYjgAciExU0Uta3FsN2FmNjlnaUdhV3pOTTY0WVRuVzF2UFdaMEM=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14</Pages>
  <Words>5154</Words>
  <Characters>27836</Characters>
  <Application>Microsoft Office Word</Application>
  <DocSecurity>0</DocSecurity>
  <Lines>231</Lines>
  <Paragraphs>65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32925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Priscila Ramos Netto Viana Priscila Ramos Netto Viana</dc:creator>
  <cp:lastModifiedBy>Cliente</cp:lastModifiedBy>
  <cp:revision>3</cp:revision>
  <dcterms:created xsi:type="dcterms:W3CDTF">2026-05-12T13:40:00Z</dcterms:created>
  <dcterms:modified xsi:type="dcterms:W3CDTF">2026-05-12T13:46:00Z</dcterms:modified>
</cp:coreProperties>
</file>